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5ABE9" w14:textId="0B4713F5" w:rsidR="00BD3B50" w:rsidRPr="00C94ECB" w:rsidRDefault="00BD3B50" w:rsidP="00424C9E">
      <w:pPr>
        <w:spacing w:line="360" w:lineRule="auto"/>
        <w:jc w:val="center"/>
        <w:rPr>
          <w:b/>
          <w:sz w:val="28"/>
          <w:szCs w:val="28"/>
        </w:rPr>
      </w:pPr>
      <w:bookmarkStart w:id="0" w:name="_GoBack"/>
      <w:bookmarkEnd w:id="0"/>
      <w:r w:rsidRPr="00C94ECB">
        <w:rPr>
          <w:b/>
          <w:sz w:val="28"/>
          <w:szCs w:val="28"/>
        </w:rPr>
        <w:t xml:space="preserve">Instructions for </w:t>
      </w:r>
      <w:r w:rsidR="00B210EB">
        <w:rPr>
          <w:b/>
          <w:sz w:val="28"/>
          <w:szCs w:val="28"/>
        </w:rPr>
        <w:t>Exercise 1</w:t>
      </w:r>
      <w:r w:rsidR="0044385C">
        <w:rPr>
          <w:b/>
          <w:sz w:val="28"/>
          <w:szCs w:val="28"/>
        </w:rPr>
        <w:t>2</w:t>
      </w:r>
      <w:r w:rsidR="00B210EB">
        <w:rPr>
          <w:b/>
          <w:sz w:val="28"/>
          <w:szCs w:val="28"/>
        </w:rPr>
        <w:t>: Dominance Analysis</w:t>
      </w:r>
    </w:p>
    <w:p w14:paraId="0BE0C07F" w14:textId="6B601869" w:rsidR="00BD3B50" w:rsidRPr="00B24662" w:rsidRDefault="00BD3B50" w:rsidP="00424C9E">
      <w:pPr>
        <w:spacing w:line="360" w:lineRule="auto"/>
        <w:rPr>
          <w:rFonts w:ascii="Times New Roman" w:hAnsi="Times New Roman"/>
          <w:b/>
        </w:rPr>
      </w:pPr>
      <w:r w:rsidRPr="00B24662">
        <w:rPr>
          <w:rFonts w:ascii="Times New Roman" w:hAnsi="Times New Roman"/>
          <w:b/>
        </w:rPr>
        <w:t xml:space="preserve">Revised </w:t>
      </w:r>
      <w:r w:rsidR="00276EAA">
        <w:rPr>
          <w:rFonts w:ascii="Times New Roman" w:hAnsi="Times New Roman"/>
          <w:b/>
        </w:rPr>
        <w:t>September</w:t>
      </w:r>
      <w:r w:rsidRPr="00B24662">
        <w:rPr>
          <w:rFonts w:ascii="Times New Roman" w:hAnsi="Times New Roman"/>
          <w:b/>
        </w:rPr>
        <w:t xml:space="preserve"> 20</w:t>
      </w:r>
      <w:r w:rsidR="004A24FE">
        <w:rPr>
          <w:rFonts w:ascii="Times New Roman" w:hAnsi="Times New Roman"/>
          <w:b/>
        </w:rPr>
        <w:t>20</w:t>
      </w:r>
    </w:p>
    <w:p w14:paraId="48457A1D" w14:textId="0E7AB1C3" w:rsidR="00BD3B50" w:rsidRPr="00E64EB2" w:rsidRDefault="004A24FE" w:rsidP="00424C9E">
      <w:pPr>
        <w:spacing w:line="360" w:lineRule="auto"/>
        <w:rPr>
          <w:rFonts w:ascii="Times New Roman" w:eastAsia="Times New Roman" w:hAnsi="Times New Roman" w:cs="Arial"/>
          <w:bCs/>
          <w:iCs/>
          <w:color w:val="000000"/>
          <w:sz w:val="24"/>
          <w:szCs w:val="24"/>
          <w:lang w:eastAsia="en-GB"/>
        </w:rPr>
      </w:pPr>
      <w:r>
        <w:rPr>
          <w:rFonts w:ascii="Times New Roman" w:hAnsi="Times New Roman"/>
          <w:b/>
          <w:sz w:val="24"/>
          <w:szCs w:val="24"/>
        </w:rPr>
        <w:t xml:space="preserve">Preliminary </w:t>
      </w:r>
      <w:r w:rsidR="00BD3B50" w:rsidRPr="00E64EB2">
        <w:rPr>
          <w:rFonts w:ascii="Times New Roman" w:hAnsi="Times New Roman"/>
          <w:b/>
          <w:sz w:val="24"/>
          <w:szCs w:val="24"/>
        </w:rPr>
        <w:t>Note</w:t>
      </w:r>
    </w:p>
    <w:p w14:paraId="6E7CF526" w14:textId="77777777" w:rsidR="004A24FE" w:rsidRPr="00DA1C28" w:rsidRDefault="004A24FE" w:rsidP="004A24FE">
      <w:pPr>
        <w:pStyle w:val="ListParagraph"/>
        <w:numPr>
          <w:ilvl w:val="0"/>
          <w:numId w:val="6"/>
        </w:numPr>
        <w:spacing w:line="360" w:lineRule="auto"/>
        <w:rPr>
          <w:rFonts w:ascii="Times New Roman" w:eastAsia="Times New Roman" w:hAnsi="Times New Roman" w:cs="Arial"/>
          <w:bCs/>
          <w:iCs/>
          <w:color w:val="000000"/>
          <w:lang w:eastAsia="en-GB"/>
        </w:rPr>
      </w:pPr>
      <w:r w:rsidRPr="00DA1C28">
        <w:rPr>
          <w:rFonts w:ascii="Times New Roman" w:eastAsia="Times New Roman" w:hAnsi="Times New Roman" w:cs="Arial"/>
          <w:bCs/>
          <w:iCs/>
          <w:color w:val="000000"/>
          <w:lang w:eastAsia="en-GB"/>
        </w:rPr>
        <w:t>The training exercise</w:t>
      </w:r>
      <w:r>
        <w:rPr>
          <w:rFonts w:ascii="Times New Roman" w:eastAsia="Times New Roman" w:hAnsi="Times New Roman" w:cs="Arial"/>
          <w:bCs/>
          <w:iCs/>
          <w:color w:val="000000"/>
          <w:lang w:eastAsia="en-GB"/>
        </w:rPr>
        <w:t xml:space="preserve"> materials </w:t>
      </w:r>
      <w:r w:rsidRPr="00DA1C28">
        <w:rPr>
          <w:rFonts w:ascii="Times New Roman" w:eastAsia="Times New Roman" w:hAnsi="Times New Roman" w:cs="Arial"/>
          <w:bCs/>
          <w:iCs/>
          <w:color w:val="000000"/>
          <w:lang w:eastAsia="en-GB"/>
        </w:rPr>
        <w:t xml:space="preserve">are available here: </w:t>
      </w:r>
      <w:hyperlink r:id="rId7" w:history="1">
        <w:r w:rsidRPr="00DA1C28">
          <w:rPr>
            <w:rStyle w:val="Hyperlink"/>
            <w:rFonts w:ascii="Times New Roman" w:eastAsia="Times New Roman" w:hAnsi="Times New Roman" w:cs="Arial"/>
            <w:bCs/>
            <w:iCs/>
            <w:lang w:eastAsia="en-GB"/>
          </w:rPr>
          <w:t>https://www.york.ac.uk/che/research/equity/handbook/</w:t>
        </w:r>
      </w:hyperlink>
    </w:p>
    <w:p w14:paraId="2C6A98AC" w14:textId="5E45932C" w:rsidR="00BD3B50" w:rsidRPr="00E64EB2" w:rsidRDefault="00BD3B50" w:rsidP="00424C9E">
      <w:pPr>
        <w:pStyle w:val="ListParagraph"/>
        <w:numPr>
          <w:ilvl w:val="0"/>
          <w:numId w:val="6"/>
        </w:numPr>
        <w:spacing w:after="0" w:line="360" w:lineRule="auto"/>
        <w:rPr>
          <w:rFonts w:ascii="Times New Roman" w:eastAsia="Times New Roman" w:hAnsi="Times New Roman" w:cs="Arial"/>
          <w:bCs/>
          <w:iCs/>
          <w:color w:val="000000"/>
          <w:sz w:val="24"/>
          <w:szCs w:val="24"/>
          <w:lang w:eastAsia="en-GB"/>
        </w:rPr>
      </w:pPr>
      <w:r w:rsidRPr="00E64EB2">
        <w:rPr>
          <w:rFonts w:ascii="Times New Roman" w:eastAsia="Times New Roman" w:hAnsi="Times New Roman" w:cs="Arial"/>
          <w:bCs/>
          <w:iCs/>
          <w:color w:val="000000"/>
          <w:sz w:val="24"/>
          <w:szCs w:val="24"/>
          <w:lang w:eastAsia="en-GB"/>
        </w:rPr>
        <w:t>There are two spreadsheets: “</w:t>
      </w:r>
      <w:r w:rsidR="00B210EB" w:rsidRPr="00E64EB2">
        <w:rPr>
          <w:rFonts w:ascii="Times New Roman" w:eastAsia="Times New Roman" w:hAnsi="Times New Roman" w:cs="Arial"/>
          <w:bCs/>
          <w:iCs/>
          <w:color w:val="000000"/>
          <w:sz w:val="24"/>
          <w:szCs w:val="24"/>
          <w:lang w:eastAsia="en-GB"/>
        </w:rPr>
        <w:t>Ex 1</w:t>
      </w:r>
      <w:r w:rsidR="0044385C" w:rsidRPr="00E64EB2">
        <w:rPr>
          <w:rFonts w:ascii="Times New Roman" w:eastAsia="Times New Roman" w:hAnsi="Times New Roman" w:cs="Arial"/>
          <w:bCs/>
          <w:iCs/>
          <w:color w:val="000000"/>
          <w:sz w:val="24"/>
          <w:szCs w:val="24"/>
          <w:lang w:eastAsia="en-GB"/>
        </w:rPr>
        <w:t>2</w:t>
      </w:r>
      <w:r w:rsidR="00B210EB" w:rsidRPr="00E64EB2">
        <w:rPr>
          <w:rFonts w:ascii="Times New Roman" w:eastAsia="Times New Roman" w:hAnsi="Times New Roman" w:cs="Arial"/>
          <w:bCs/>
          <w:iCs/>
          <w:color w:val="000000"/>
          <w:sz w:val="24"/>
          <w:szCs w:val="24"/>
          <w:lang w:eastAsia="en-GB"/>
        </w:rPr>
        <w:t xml:space="preserve"> </w:t>
      </w:r>
      <w:r w:rsidRPr="00E64EB2">
        <w:rPr>
          <w:rFonts w:ascii="Times New Roman" w:eastAsia="Times New Roman" w:hAnsi="Times New Roman" w:cs="Arial"/>
          <w:bCs/>
          <w:iCs/>
          <w:color w:val="000000"/>
          <w:sz w:val="24"/>
          <w:szCs w:val="24"/>
          <w:lang w:eastAsia="en-GB"/>
        </w:rPr>
        <w:t>– student file” and “</w:t>
      </w:r>
      <w:r w:rsidR="00B210EB" w:rsidRPr="00E64EB2">
        <w:rPr>
          <w:rFonts w:ascii="Times New Roman" w:eastAsia="Times New Roman" w:hAnsi="Times New Roman" w:cs="Arial"/>
          <w:bCs/>
          <w:iCs/>
          <w:color w:val="000000"/>
          <w:sz w:val="24"/>
          <w:szCs w:val="24"/>
          <w:lang w:eastAsia="en-GB"/>
        </w:rPr>
        <w:t>Ex 1</w:t>
      </w:r>
      <w:r w:rsidR="0044385C" w:rsidRPr="00E64EB2">
        <w:rPr>
          <w:rFonts w:ascii="Times New Roman" w:eastAsia="Times New Roman" w:hAnsi="Times New Roman" w:cs="Arial"/>
          <w:bCs/>
          <w:iCs/>
          <w:color w:val="000000"/>
          <w:sz w:val="24"/>
          <w:szCs w:val="24"/>
          <w:lang w:eastAsia="en-GB"/>
        </w:rPr>
        <w:t>2</w:t>
      </w:r>
      <w:r w:rsidR="00B210EB" w:rsidRPr="00E64EB2">
        <w:rPr>
          <w:rFonts w:ascii="Times New Roman" w:eastAsia="Times New Roman" w:hAnsi="Times New Roman" w:cs="Arial"/>
          <w:bCs/>
          <w:iCs/>
          <w:color w:val="000000"/>
          <w:sz w:val="24"/>
          <w:szCs w:val="24"/>
          <w:lang w:eastAsia="en-GB"/>
        </w:rPr>
        <w:t xml:space="preserve"> </w:t>
      </w:r>
      <w:r w:rsidR="0033334F" w:rsidRPr="00E64EB2">
        <w:rPr>
          <w:rFonts w:ascii="Times New Roman" w:eastAsia="Times New Roman" w:hAnsi="Times New Roman" w:cs="Arial"/>
          <w:bCs/>
          <w:iCs/>
          <w:color w:val="000000"/>
          <w:sz w:val="24"/>
          <w:szCs w:val="24"/>
          <w:lang w:eastAsia="en-GB"/>
        </w:rPr>
        <w:t xml:space="preserve">– </w:t>
      </w:r>
      <w:r w:rsidRPr="00E64EB2">
        <w:rPr>
          <w:rFonts w:ascii="Times New Roman" w:eastAsia="Times New Roman" w:hAnsi="Times New Roman" w:cs="Arial"/>
          <w:bCs/>
          <w:iCs/>
          <w:color w:val="000000"/>
          <w:sz w:val="24"/>
          <w:szCs w:val="24"/>
          <w:lang w:eastAsia="en-GB"/>
        </w:rPr>
        <w:t>solution file”.  Please open the “student file” to start with and go through the worksheets filling in the relevant cells yourself.  You can look at the solution file if you get stuck.</w:t>
      </w:r>
    </w:p>
    <w:p w14:paraId="106FC97E" w14:textId="5C4D7DBD" w:rsidR="00BD3B50" w:rsidRDefault="00BD3B50" w:rsidP="00424C9E">
      <w:pPr>
        <w:pStyle w:val="ListParagraph"/>
        <w:numPr>
          <w:ilvl w:val="0"/>
          <w:numId w:val="6"/>
        </w:numPr>
        <w:spacing w:after="0" w:line="360" w:lineRule="auto"/>
        <w:rPr>
          <w:rFonts w:ascii="Times New Roman" w:eastAsia="Times New Roman" w:hAnsi="Times New Roman" w:cs="Arial"/>
          <w:bCs/>
          <w:iCs/>
          <w:color w:val="000000"/>
          <w:sz w:val="24"/>
          <w:szCs w:val="24"/>
          <w:lang w:eastAsia="en-GB"/>
        </w:rPr>
      </w:pPr>
      <w:r w:rsidRPr="00E64EB2">
        <w:rPr>
          <w:rFonts w:ascii="Times New Roman" w:eastAsia="Times New Roman" w:hAnsi="Times New Roman" w:cs="Arial"/>
          <w:bCs/>
          <w:iCs/>
          <w:color w:val="000000"/>
          <w:sz w:val="24"/>
          <w:szCs w:val="24"/>
          <w:lang w:eastAsia="en-GB"/>
        </w:rPr>
        <w:t>When the spreadsheet is first opened a ‘Security Warning’ may be displayed below the menu bar.  Select ‘Enable this content’.</w:t>
      </w:r>
    </w:p>
    <w:p w14:paraId="23DDA59C" w14:textId="2607B465" w:rsidR="004A24FE" w:rsidRPr="004A24FE" w:rsidRDefault="004A24FE" w:rsidP="004A24FE">
      <w:pPr>
        <w:pStyle w:val="ListParagraph"/>
        <w:numPr>
          <w:ilvl w:val="0"/>
          <w:numId w:val="6"/>
        </w:numPr>
        <w:spacing w:after="0" w:line="360" w:lineRule="auto"/>
        <w:rPr>
          <w:rFonts w:ascii="Times New Roman" w:eastAsia="Times New Roman" w:hAnsi="Times New Roman" w:cs="Arial"/>
          <w:bCs/>
          <w:iCs/>
          <w:color w:val="000000"/>
          <w:lang w:eastAsia="en-GB"/>
        </w:rPr>
      </w:pPr>
      <w:r w:rsidRPr="00DA1C28">
        <w:rPr>
          <w:rFonts w:ascii="Times New Roman" w:eastAsia="Times New Roman" w:hAnsi="Times New Roman" w:cs="Arial"/>
          <w:bCs/>
          <w:iCs/>
          <w:color w:val="000000"/>
          <w:lang w:eastAsia="en-GB"/>
        </w:rPr>
        <w:t xml:space="preserve">This exercise was produced for the Handbook of Distributional Cost-Effectiveness Analysis by </w:t>
      </w:r>
      <w:r>
        <w:rPr>
          <w:rFonts w:ascii="Times New Roman" w:eastAsia="Times New Roman" w:hAnsi="Times New Roman" w:cs="Arial"/>
          <w:bCs/>
          <w:iCs/>
          <w:color w:val="000000"/>
          <w:lang w:eastAsia="en-GB"/>
        </w:rPr>
        <w:t xml:space="preserve">Tom Van </w:t>
      </w:r>
      <w:proofErr w:type="spellStart"/>
      <w:r>
        <w:rPr>
          <w:rFonts w:ascii="Times New Roman" w:eastAsia="Times New Roman" w:hAnsi="Times New Roman" w:cs="Arial"/>
          <w:bCs/>
          <w:iCs/>
          <w:color w:val="000000"/>
          <w:lang w:eastAsia="en-GB"/>
        </w:rPr>
        <w:t>Ourti</w:t>
      </w:r>
      <w:proofErr w:type="spellEnd"/>
      <w:r>
        <w:rPr>
          <w:rFonts w:ascii="Times New Roman" w:eastAsia="Times New Roman" w:hAnsi="Times New Roman" w:cs="Arial"/>
          <w:bCs/>
          <w:iCs/>
          <w:color w:val="000000"/>
          <w:lang w:eastAsia="en-GB"/>
        </w:rPr>
        <w:t xml:space="preserve"> and Owen O’Donnell </w:t>
      </w:r>
      <w:r w:rsidRPr="00DA1C28">
        <w:rPr>
          <w:rFonts w:ascii="Times New Roman" w:eastAsia="Times New Roman" w:hAnsi="Times New Roman" w:cs="Arial"/>
          <w:bCs/>
          <w:iCs/>
          <w:color w:val="000000"/>
          <w:lang w:eastAsia="en-GB"/>
        </w:rPr>
        <w:t>and edited by Richard Cookson</w:t>
      </w:r>
      <w:r w:rsidR="00403265">
        <w:rPr>
          <w:rFonts w:ascii="Times New Roman" w:eastAsia="Times New Roman" w:hAnsi="Times New Roman" w:cs="Arial"/>
          <w:bCs/>
          <w:iCs/>
          <w:color w:val="000000"/>
          <w:lang w:eastAsia="en-GB"/>
        </w:rPr>
        <w:t xml:space="preserve"> with help from </w:t>
      </w:r>
      <w:r w:rsidR="00403265" w:rsidRPr="00403265">
        <w:rPr>
          <w:rFonts w:ascii="Times New Roman" w:eastAsia="Times New Roman" w:hAnsi="Times New Roman" w:cs="Arial"/>
          <w:bCs/>
          <w:iCs/>
          <w:color w:val="000000"/>
          <w:lang w:eastAsia="en-GB"/>
        </w:rPr>
        <w:t>Matthias Arnold and Yukiko Asada</w:t>
      </w:r>
      <w:r>
        <w:rPr>
          <w:rFonts w:ascii="Times New Roman" w:eastAsia="Times New Roman" w:hAnsi="Times New Roman" w:cs="Arial"/>
          <w:bCs/>
          <w:iCs/>
          <w:color w:val="000000"/>
          <w:lang w:eastAsia="en-GB"/>
        </w:rPr>
        <w:t>.</w:t>
      </w:r>
    </w:p>
    <w:p w14:paraId="5EB14FBA" w14:textId="21956141" w:rsidR="00407F32" w:rsidRPr="00E64EB2" w:rsidRDefault="00407F32" w:rsidP="00424C9E">
      <w:pPr>
        <w:spacing w:line="360" w:lineRule="auto"/>
        <w:rPr>
          <w:rFonts w:ascii="Times New Roman" w:hAnsi="Times New Roman"/>
          <w:b/>
          <w:sz w:val="24"/>
          <w:szCs w:val="24"/>
        </w:rPr>
      </w:pPr>
      <w:r w:rsidRPr="00E64EB2">
        <w:rPr>
          <w:rFonts w:ascii="Times New Roman" w:hAnsi="Times New Roman"/>
          <w:b/>
          <w:sz w:val="24"/>
          <w:szCs w:val="24"/>
        </w:rPr>
        <w:t>Introduction</w:t>
      </w:r>
    </w:p>
    <w:p w14:paraId="2F5E6DA5" w14:textId="6A42644C" w:rsidR="00461BEF" w:rsidRPr="00E64EB2" w:rsidRDefault="00461BEF" w:rsidP="00424C9E">
      <w:pPr>
        <w:spacing w:line="360" w:lineRule="auto"/>
        <w:jc w:val="both"/>
        <w:rPr>
          <w:rFonts w:ascii="Times New Roman" w:eastAsia="Calibri" w:hAnsi="Times New Roman" w:cs="Times New Roman"/>
          <w:sz w:val="24"/>
          <w:szCs w:val="24"/>
          <w:lang w:val="en-GB"/>
        </w:rPr>
      </w:pPr>
      <w:r w:rsidRPr="00E64EB2">
        <w:rPr>
          <w:rFonts w:ascii="Times New Roman" w:eastAsia="Calibri" w:hAnsi="Times New Roman" w:cs="Times New Roman"/>
          <w:sz w:val="24"/>
          <w:szCs w:val="24"/>
          <w:lang w:val="en-GB"/>
        </w:rPr>
        <w:t>The aim of this exercise is to learn how to use the extended Gini family of social welfare functions (SWFs) to quantify and compare welfare</w:t>
      </w:r>
      <w:r w:rsidR="00E61E62">
        <w:rPr>
          <w:rFonts w:ascii="Times New Roman" w:eastAsia="Calibri" w:hAnsi="Times New Roman" w:cs="Times New Roman"/>
          <w:sz w:val="24"/>
          <w:szCs w:val="24"/>
          <w:lang w:val="en-GB"/>
        </w:rPr>
        <w:t xml:space="preserve"> and relative and absolute inequality</w:t>
      </w:r>
      <w:r w:rsidRPr="00E64EB2">
        <w:rPr>
          <w:rFonts w:ascii="Times New Roman" w:eastAsia="Calibri" w:hAnsi="Times New Roman" w:cs="Times New Roman"/>
          <w:sz w:val="24"/>
          <w:szCs w:val="24"/>
          <w:lang w:val="en-GB"/>
        </w:rPr>
        <w:t xml:space="preserve"> of distributions of health-adjusted life expectancy (HALE)</w:t>
      </w:r>
      <w:r w:rsidR="00AA2408">
        <w:rPr>
          <w:rFonts w:ascii="Times New Roman" w:eastAsia="Calibri" w:hAnsi="Times New Roman" w:cs="Times New Roman"/>
          <w:sz w:val="24"/>
          <w:szCs w:val="24"/>
          <w:lang w:val="en-GB"/>
        </w:rPr>
        <w:t>. We illustrate how different degrees of inequality aversion affect these comparisons</w:t>
      </w:r>
      <w:r w:rsidRPr="00E64EB2">
        <w:rPr>
          <w:rFonts w:ascii="Times New Roman" w:eastAsia="Calibri" w:hAnsi="Times New Roman" w:cs="Times New Roman"/>
          <w:sz w:val="24"/>
          <w:szCs w:val="24"/>
          <w:lang w:val="en-GB"/>
        </w:rPr>
        <w:t xml:space="preserve">, and stress similarities and differences with welfare comparisons based on dominance analyses (in </w:t>
      </w:r>
      <w:r w:rsidR="00E734E2">
        <w:rPr>
          <w:rFonts w:ascii="Times New Roman" w:eastAsia="Calibri" w:hAnsi="Times New Roman" w:cs="Times New Roman"/>
          <w:sz w:val="24"/>
          <w:szCs w:val="24"/>
          <w:lang w:val="en-GB"/>
        </w:rPr>
        <w:t>exercise</w:t>
      </w:r>
      <w:r w:rsidRPr="00E64EB2">
        <w:rPr>
          <w:rFonts w:ascii="Times New Roman" w:eastAsia="Calibri" w:hAnsi="Times New Roman" w:cs="Times New Roman"/>
          <w:sz w:val="24"/>
          <w:szCs w:val="24"/>
          <w:lang w:val="en-GB"/>
        </w:rPr>
        <w:t xml:space="preserve"> 11).</w:t>
      </w:r>
    </w:p>
    <w:p w14:paraId="57E93B84" w14:textId="77777777" w:rsidR="00461BEF" w:rsidRPr="00E64EB2" w:rsidRDefault="00461BEF" w:rsidP="00424C9E">
      <w:pPr>
        <w:spacing w:after="0" w:line="360" w:lineRule="auto"/>
        <w:rPr>
          <w:rFonts w:ascii="Times New Roman" w:hAnsi="Times New Roman"/>
          <w:sz w:val="24"/>
          <w:szCs w:val="24"/>
        </w:rPr>
      </w:pPr>
      <w:r w:rsidRPr="00E64EB2">
        <w:rPr>
          <w:rFonts w:ascii="Times New Roman" w:eastAsia="Times New Roman" w:hAnsi="Times New Roman" w:cs="Arial"/>
          <w:bCs/>
          <w:iCs/>
          <w:color w:val="000000"/>
          <w:sz w:val="24"/>
          <w:szCs w:val="24"/>
          <w:lang w:val="en-GB" w:eastAsia="en-GB"/>
        </w:rPr>
        <w:t xml:space="preserve">The exercise </w:t>
      </w:r>
      <w:r w:rsidRPr="00E64EB2">
        <w:rPr>
          <w:rFonts w:ascii="Times New Roman" w:hAnsi="Times New Roman"/>
          <w:sz w:val="24"/>
          <w:szCs w:val="24"/>
        </w:rPr>
        <w:t>is based on the illustrative example of Nicotine Replacement Therapy in England.  Nicotine replacement therapy (NRT) to help people stop smoking or chewing tobacco is a classic example of a preventive healthcare intervention aimed at improving health and reducing health inequality.  You are asked to imagine that the UK government is considering three national policy options for NRT in England:</w:t>
      </w:r>
    </w:p>
    <w:p w14:paraId="299D19A3" w14:textId="77777777" w:rsidR="00461BEF" w:rsidRPr="00E64EB2" w:rsidRDefault="00461BEF" w:rsidP="00424C9E">
      <w:pPr>
        <w:pStyle w:val="ListParagraph"/>
        <w:numPr>
          <w:ilvl w:val="0"/>
          <w:numId w:val="7"/>
        </w:numPr>
        <w:spacing w:after="0" w:line="360" w:lineRule="auto"/>
        <w:contextualSpacing w:val="0"/>
        <w:rPr>
          <w:rFonts w:ascii="Times New Roman" w:hAnsi="Times New Roman"/>
          <w:sz w:val="24"/>
          <w:szCs w:val="24"/>
        </w:rPr>
      </w:pPr>
      <w:r w:rsidRPr="00E64EB2">
        <w:rPr>
          <w:rFonts w:ascii="Times New Roman" w:hAnsi="Times New Roman"/>
          <w:sz w:val="24"/>
          <w:szCs w:val="24"/>
        </w:rPr>
        <w:t>No Public NRT: do not provide any public subsidy for nicotine replacement therapy</w:t>
      </w:r>
    </w:p>
    <w:p w14:paraId="0AED3E29" w14:textId="77777777" w:rsidR="00461BEF" w:rsidRPr="00E64EB2" w:rsidRDefault="00461BEF" w:rsidP="00424C9E">
      <w:pPr>
        <w:pStyle w:val="ListParagraph"/>
        <w:numPr>
          <w:ilvl w:val="0"/>
          <w:numId w:val="7"/>
        </w:numPr>
        <w:spacing w:after="0" w:line="360" w:lineRule="auto"/>
        <w:contextualSpacing w:val="0"/>
        <w:rPr>
          <w:rFonts w:ascii="Times New Roman" w:hAnsi="Times New Roman"/>
          <w:sz w:val="24"/>
          <w:szCs w:val="24"/>
        </w:rPr>
      </w:pPr>
      <w:r w:rsidRPr="00E64EB2">
        <w:rPr>
          <w:rFonts w:ascii="Times New Roman" w:hAnsi="Times New Roman"/>
          <w:sz w:val="24"/>
          <w:szCs w:val="24"/>
        </w:rPr>
        <w:t>Universal NRT: offer free nicotine replacement therapy to all smokers</w:t>
      </w:r>
    </w:p>
    <w:p w14:paraId="4A766A5C" w14:textId="77777777" w:rsidR="00461BEF" w:rsidRPr="00E64EB2" w:rsidRDefault="00461BEF" w:rsidP="00424C9E">
      <w:pPr>
        <w:pStyle w:val="ListParagraph"/>
        <w:numPr>
          <w:ilvl w:val="0"/>
          <w:numId w:val="7"/>
        </w:numPr>
        <w:spacing w:after="0" w:line="360" w:lineRule="auto"/>
        <w:contextualSpacing w:val="0"/>
        <w:rPr>
          <w:rFonts w:ascii="Times New Roman" w:hAnsi="Times New Roman"/>
          <w:sz w:val="24"/>
          <w:szCs w:val="24"/>
        </w:rPr>
      </w:pPr>
      <w:r w:rsidRPr="00E64EB2">
        <w:rPr>
          <w:rFonts w:ascii="Times New Roman" w:hAnsi="Times New Roman"/>
          <w:sz w:val="24"/>
          <w:szCs w:val="24"/>
        </w:rPr>
        <w:t>Proportional Universal NRT: Universal NRT with additional resources to encourage uptake in disadvantaged communities</w:t>
      </w:r>
    </w:p>
    <w:p w14:paraId="3BDB1F7E" w14:textId="5F07618B" w:rsidR="00461BEF" w:rsidRDefault="00461BEF" w:rsidP="00424C9E">
      <w:pPr>
        <w:spacing w:after="0" w:line="360" w:lineRule="auto"/>
        <w:rPr>
          <w:rFonts w:ascii="Times New Roman" w:hAnsi="Times New Roman"/>
          <w:sz w:val="24"/>
          <w:szCs w:val="24"/>
        </w:rPr>
      </w:pPr>
      <w:r w:rsidRPr="00E64EB2">
        <w:rPr>
          <w:rFonts w:ascii="Times New Roman" w:hAnsi="Times New Roman"/>
          <w:sz w:val="24"/>
          <w:szCs w:val="24"/>
        </w:rPr>
        <w:t xml:space="preserve">We </w:t>
      </w:r>
      <w:r w:rsidR="00767D99">
        <w:rPr>
          <w:rFonts w:ascii="Times New Roman" w:hAnsi="Times New Roman"/>
          <w:sz w:val="24"/>
          <w:szCs w:val="24"/>
        </w:rPr>
        <w:t xml:space="preserve">provide </w:t>
      </w:r>
      <w:r w:rsidRPr="00E64EB2">
        <w:rPr>
          <w:rFonts w:ascii="Times New Roman" w:hAnsi="Times New Roman"/>
          <w:sz w:val="24"/>
          <w:szCs w:val="24"/>
        </w:rPr>
        <w:t>group-level distributions of health adjusted life expectancy (HALE) at birth resulting from these three options</w:t>
      </w:r>
      <w:r w:rsidR="00767D99">
        <w:rPr>
          <w:rFonts w:ascii="Times New Roman" w:hAnsi="Times New Roman"/>
          <w:sz w:val="24"/>
          <w:szCs w:val="24"/>
        </w:rPr>
        <w:t>, as calculated in handbook exercises 7, 8 and 9</w:t>
      </w:r>
      <w:r w:rsidRPr="00E64EB2">
        <w:rPr>
          <w:rFonts w:ascii="Times New Roman" w:hAnsi="Times New Roman"/>
          <w:sz w:val="24"/>
          <w:szCs w:val="24"/>
        </w:rPr>
        <w:t>.  Your task is to evaluate which of these three distributions is the best, taking into account both efficiency in terms of sum total health and equity in the distribution of health.</w:t>
      </w:r>
    </w:p>
    <w:p w14:paraId="2E4977DD" w14:textId="77777777" w:rsidR="00E64EB2" w:rsidRPr="00E64EB2" w:rsidRDefault="00E64EB2" w:rsidP="00424C9E">
      <w:pPr>
        <w:spacing w:after="0" w:line="360" w:lineRule="auto"/>
        <w:rPr>
          <w:rFonts w:ascii="Times New Roman" w:hAnsi="Times New Roman"/>
          <w:sz w:val="24"/>
          <w:szCs w:val="24"/>
        </w:rPr>
      </w:pPr>
    </w:p>
    <w:p w14:paraId="71090DF0" w14:textId="77777777" w:rsidR="00E64EB2" w:rsidRDefault="00E64EB2" w:rsidP="00424C9E">
      <w:pPr>
        <w:spacing w:line="360" w:lineRule="auto"/>
        <w:jc w:val="both"/>
        <w:rPr>
          <w:rFonts w:ascii="Times New Roman" w:eastAsiaTheme="majorEastAsia" w:hAnsi="Times New Roman" w:cs="Times New Roman"/>
          <w:b/>
          <w:sz w:val="24"/>
          <w:szCs w:val="24"/>
          <w:lang w:val="en-GB"/>
        </w:rPr>
      </w:pPr>
      <w:r>
        <w:rPr>
          <w:rFonts w:ascii="Times New Roman" w:eastAsiaTheme="majorEastAsia" w:hAnsi="Times New Roman" w:cs="Times New Roman"/>
          <w:b/>
          <w:sz w:val="24"/>
          <w:szCs w:val="24"/>
          <w:lang w:val="en-GB"/>
        </w:rPr>
        <w:t>Getting started</w:t>
      </w:r>
    </w:p>
    <w:p w14:paraId="0368A60E" w14:textId="12C169A0" w:rsidR="00E64EB2" w:rsidRDefault="00E64EB2" w:rsidP="00424C9E">
      <w:pPr>
        <w:spacing w:line="360" w:lineRule="auto"/>
        <w:jc w:val="both"/>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 xml:space="preserve">Open </w:t>
      </w:r>
      <w:r w:rsidRPr="00767D99">
        <w:rPr>
          <w:rFonts w:ascii="Times New Roman" w:eastAsiaTheme="majorEastAsia" w:hAnsi="Times New Roman" w:cs="Times New Roman"/>
          <w:i/>
          <w:iCs/>
          <w:sz w:val="24"/>
          <w:szCs w:val="24"/>
          <w:lang w:val="en-GB"/>
        </w:rPr>
        <w:t>‘Ex 12 – student.xlsx’</w:t>
      </w:r>
      <w:r w:rsidRPr="00B24662">
        <w:rPr>
          <w:rFonts w:ascii="Times New Roman" w:eastAsiaTheme="majorEastAsia" w:hAnsi="Times New Roman" w:cs="Times New Roman"/>
          <w:sz w:val="24"/>
          <w:szCs w:val="24"/>
          <w:lang w:val="en-GB"/>
        </w:rPr>
        <w:t xml:space="preserve"> and select the </w:t>
      </w:r>
      <w:r>
        <w:rPr>
          <w:rFonts w:ascii="Times New Roman" w:eastAsiaTheme="majorEastAsia" w:hAnsi="Times New Roman" w:cs="Times New Roman"/>
          <w:sz w:val="24"/>
          <w:szCs w:val="24"/>
          <w:lang w:val="en-GB"/>
        </w:rPr>
        <w:t>&lt;</w:t>
      </w:r>
      <w:r w:rsidR="00EC15B0">
        <w:rPr>
          <w:rFonts w:ascii="Times New Roman" w:eastAsiaTheme="majorEastAsia" w:hAnsi="Times New Roman" w:cs="Times New Roman"/>
          <w:sz w:val="24"/>
          <w:szCs w:val="24"/>
          <w:lang w:val="en-GB"/>
        </w:rPr>
        <w:t>Calculation</w:t>
      </w:r>
      <w:r w:rsidR="00A05D1E">
        <w:rPr>
          <w:rFonts w:ascii="Times New Roman" w:eastAsiaTheme="majorEastAsia" w:hAnsi="Times New Roman" w:cs="Times New Roman"/>
          <w:sz w:val="24"/>
          <w:szCs w:val="24"/>
          <w:lang w:val="en-GB"/>
        </w:rPr>
        <w:t xml:space="preserve"> &amp; EDEH</w:t>
      </w:r>
      <w:r>
        <w:rPr>
          <w:rFonts w:ascii="Times New Roman" w:eastAsiaTheme="majorEastAsia" w:hAnsi="Times New Roman" w:cs="Times New Roman"/>
          <w:sz w:val="24"/>
          <w:szCs w:val="24"/>
          <w:lang w:val="en-GB"/>
        </w:rPr>
        <w:t>&gt;</w:t>
      </w:r>
      <w:r w:rsidRPr="005537A5">
        <w:rPr>
          <w:rFonts w:ascii="Times New Roman" w:eastAsiaTheme="majorEastAsia" w:hAnsi="Times New Roman" w:cs="Times New Roman"/>
          <w:sz w:val="24"/>
          <w:szCs w:val="24"/>
          <w:lang w:val="en-GB"/>
        </w:rPr>
        <w:t xml:space="preserve"> </w:t>
      </w:r>
      <w:r w:rsidRPr="00B24662">
        <w:rPr>
          <w:rFonts w:ascii="Times New Roman" w:eastAsiaTheme="majorEastAsia" w:hAnsi="Times New Roman" w:cs="Times New Roman"/>
          <w:sz w:val="24"/>
          <w:szCs w:val="24"/>
          <w:lang w:val="en-GB"/>
        </w:rPr>
        <w:t>worksheet.</w:t>
      </w:r>
    </w:p>
    <w:p w14:paraId="60B70FEC" w14:textId="064C9C5A" w:rsidR="00E64EB2" w:rsidRDefault="00E64EB2" w:rsidP="00424C9E">
      <w:pPr>
        <w:spacing w:line="360" w:lineRule="auto"/>
        <w:jc w:val="both"/>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 xml:space="preserve">You must complete the </w:t>
      </w:r>
      <w:r w:rsidR="0050105C">
        <w:rPr>
          <w:rFonts w:ascii="Times New Roman" w:eastAsiaTheme="majorEastAsia" w:hAnsi="Times New Roman" w:cs="Times New Roman"/>
          <w:sz w:val="24"/>
          <w:szCs w:val="24"/>
          <w:lang w:val="en-GB"/>
        </w:rPr>
        <w:t>yellow</w:t>
      </w:r>
      <w:r>
        <w:rPr>
          <w:rFonts w:ascii="Times New Roman" w:eastAsiaTheme="majorEastAsia" w:hAnsi="Times New Roman" w:cs="Times New Roman"/>
          <w:sz w:val="24"/>
          <w:szCs w:val="24"/>
          <w:lang w:val="en-GB"/>
        </w:rPr>
        <w:t xml:space="preserve"> cells.  </w:t>
      </w:r>
    </w:p>
    <w:p w14:paraId="0EECDB26" w14:textId="52BCD43D" w:rsidR="00896B52" w:rsidRDefault="00896B52" w:rsidP="00424C9E">
      <w:pPr>
        <w:spacing w:line="360" w:lineRule="auto"/>
        <w:jc w:val="both"/>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 xml:space="preserve">Table 1 presents the </w:t>
      </w:r>
      <w:r w:rsidR="0050105C">
        <w:rPr>
          <w:rFonts w:ascii="Times New Roman" w:eastAsiaTheme="majorEastAsia" w:hAnsi="Times New Roman" w:cs="Times New Roman"/>
          <w:sz w:val="24"/>
          <w:szCs w:val="24"/>
          <w:lang w:val="en-GB"/>
        </w:rPr>
        <w:t xml:space="preserve">group-level </w:t>
      </w:r>
      <w:r>
        <w:rPr>
          <w:rFonts w:ascii="Times New Roman" w:eastAsiaTheme="majorEastAsia" w:hAnsi="Times New Roman" w:cs="Times New Roman"/>
          <w:sz w:val="24"/>
          <w:szCs w:val="24"/>
          <w:lang w:val="en-GB"/>
        </w:rPr>
        <w:t>distributions of average health-adjusted life expectancy (HALE) resulting from each of the three policy options – i.e. 1: No NRT, 2. Universal NRT and 3. Proportional Universal NRT.  Each distribution is broken down by ten groups, i.e. 5 SES groups ranked from most deprived (1) to least deprived (5)</w:t>
      </w:r>
      <w:r w:rsidR="0050105C">
        <w:rPr>
          <w:rFonts w:ascii="Times New Roman" w:eastAsiaTheme="majorEastAsia" w:hAnsi="Times New Roman" w:cs="Times New Roman"/>
          <w:sz w:val="24"/>
          <w:szCs w:val="24"/>
          <w:lang w:val="en-GB"/>
        </w:rPr>
        <w:t xml:space="preserve"> for both the North and South of England.</w:t>
      </w:r>
    </w:p>
    <w:p w14:paraId="24210A7D" w14:textId="35E91DB4" w:rsidR="00454B8A" w:rsidRPr="00406343" w:rsidRDefault="008663A0" w:rsidP="00424C9E">
      <w:pPr>
        <w:spacing w:line="360" w:lineRule="auto"/>
        <w:jc w:val="both"/>
        <w:rPr>
          <w:rFonts w:ascii="Times New Roman" w:eastAsiaTheme="majorEastAsia" w:hAnsi="Times New Roman" w:cs="Times New Roman"/>
          <w:i/>
          <w:sz w:val="24"/>
          <w:szCs w:val="24"/>
        </w:rPr>
      </w:pPr>
      <w:r>
        <w:rPr>
          <w:rFonts w:ascii="Times New Roman" w:eastAsiaTheme="majorEastAsia" w:hAnsi="Times New Roman" w:cs="Times New Roman"/>
          <w:i/>
          <w:sz w:val="24"/>
          <w:szCs w:val="24"/>
        </w:rPr>
        <w:t xml:space="preserve">Calculating </w:t>
      </w:r>
      <w:r w:rsidR="00D94FBF">
        <w:rPr>
          <w:rFonts w:ascii="Times New Roman" w:eastAsiaTheme="majorEastAsia" w:hAnsi="Times New Roman" w:cs="Times New Roman"/>
          <w:i/>
          <w:sz w:val="24"/>
          <w:szCs w:val="24"/>
        </w:rPr>
        <w:t>EDEH</w:t>
      </w:r>
      <w:r w:rsidR="00A21E22">
        <w:rPr>
          <w:rFonts w:ascii="Times New Roman" w:eastAsiaTheme="majorEastAsia" w:hAnsi="Times New Roman" w:cs="Times New Roman"/>
          <w:i/>
          <w:sz w:val="24"/>
          <w:szCs w:val="24"/>
        </w:rPr>
        <w:t xml:space="preserve"> welfare</w:t>
      </w:r>
      <w:r w:rsidR="00D94FBF">
        <w:rPr>
          <w:rFonts w:ascii="Times New Roman" w:eastAsiaTheme="majorEastAsia" w:hAnsi="Times New Roman" w:cs="Times New Roman"/>
          <w:i/>
          <w:sz w:val="24"/>
          <w:szCs w:val="24"/>
        </w:rPr>
        <w:t>, relative</w:t>
      </w:r>
      <w:r w:rsidR="00A21E22">
        <w:rPr>
          <w:rFonts w:ascii="Times New Roman" w:eastAsiaTheme="majorEastAsia" w:hAnsi="Times New Roman" w:cs="Times New Roman"/>
          <w:i/>
          <w:sz w:val="24"/>
          <w:szCs w:val="24"/>
        </w:rPr>
        <w:t xml:space="preserve"> inequality and </w:t>
      </w:r>
      <w:r w:rsidR="00D94FBF">
        <w:rPr>
          <w:rFonts w:ascii="Times New Roman" w:eastAsiaTheme="majorEastAsia" w:hAnsi="Times New Roman" w:cs="Times New Roman"/>
          <w:i/>
          <w:sz w:val="24"/>
          <w:szCs w:val="24"/>
        </w:rPr>
        <w:t>absolute inequalit</w:t>
      </w:r>
      <w:r w:rsidR="00A21E22">
        <w:rPr>
          <w:rFonts w:ascii="Times New Roman" w:eastAsiaTheme="majorEastAsia" w:hAnsi="Times New Roman" w:cs="Times New Roman"/>
          <w:i/>
          <w:sz w:val="24"/>
          <w:szCs w:val="24"/>
        </w:rPr>
        <w:t>y</w:t>
      </w:r>
    </w:p>
    <w:p w14:paraId="697AE3A3" w14:textId="445EABDE" w:rsidR="00406343" w:rsidRDefault="00A21E22" w:rsidP="00424C9E">
      <w:pPr>
        <w:spacing w:line="360" w:lineRule="auto"/>
        <w:jc w:val="both"/>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 xml:space="preserve">In this first worksheet you will </w:t>
      </w:r>
      <w:r w:rsidR="00406343" w:rsidRPr="00406343">
        <w:rPr>
          <w:rFonts w:ascii="Times New Roman" w:eastAsiaTheme="majorEastAsia" w:hAnsi="Times New Roman" w:cs="Times New Roman"/>
          <w:sz w:val="24"/>
          <w:szCs w:val="24"/>
          <w:lang w:val="en-GB"/>
        </w:rPr>
        <w:t>calculate the generalized extended Gini index</w:t>
      </w:r>
      <w:r>
        <w:rPr>
          <w:rFonts w:ascii="Times New Roman" w:eastAsiaTheme="majorEastAsia" w:hAnsi="Times New Roman" w:cs="Times New Roman"/>
          <w:sz w:val="24"/>
          <w:szCs w:val="24"/>
          <w:lang w:val="en-GB"/>
        </w:rPr>
        <w:t xml:space="preserve"> of absolute inequality</w:t>
      </w:r>
      <w:r w:rsidR="00406343" w:rsidRPr="00406343">
        <w:rPr>
          <w:rFonts w:ascii="Times New Roman" w:eastAsiaTheme="majorEastAsia" w:hAnsi="Times New Roman" w:cs="Times New Roman"/>
          <w:sz w:val="24"/>
          <w:szCs w:val="24"/>
          <w:lang w:val="en-GB"/>
        </w:rPr>
        <w:t xml:space="preserve">, the extended Gini index </w:t>
      </w:r>
      <w:r>
        <w:rPr>
          <w:rFonts w:ascii="Times New Roman" w:eastAsiaTheme="majorEastAsia" w:hAnsi="Times New Roman" w:cs="Times New Roman"/>
          <w:sz w:val="24"/>
          <w:szCs w:val="24"/>
          <w:lang w:val="en-GB"/>
        </w:rPr>
        <w:t xml:space="preserve">of relative inequality </w:t>
      </w:r>
      <w:r w:rsidR="00406343" w:rsidRPr="00406343">
        <w:rPr>
          <w:rFonts w:ascii="Times New Roman" w:eastAsiaTheme="majorEastAsia" w:hAnsi="Times New Roman" w:cs="Times New Roman"/>
          <w:sz w:val="24"/>
          <w:szCs w:val="24"/>
          <w:lang w:val="en-GB"/>
        </w:rPr>
        <w:t xml:space="preserve">and </w:t>
      </w:r>
      <w:r w:rsidR="008475A4">
        <w:rPr>
          <w:rFonts w:ascii="Times New Roman" w:eastAsiaTheme="majorEastAsia" w:hAnsi="Times New Roman" w:cs="Times New Roman"/>
          <w:sz w:val="24"/>
          <w:szCs w:val="24"/>
          <w:lang w:val="en-GB"/>
        </w:rPr>
        <w:t xml:space="preserve">the </w:t>
      </w:r>
      <w:r w:rsidR="00406343" w:rsidRPr="00406343">
        <w:rPr>
          <w:rFonts w:ascii="Times New Roman" w:eastAsiaTheme="majorEastAsia" w:hAnsi="Times New Roman" w:cs="Times New Roman"/>
          <w:sz w:val="24"/>
          <w:szCs w:val="24"/>
          <w:lang w:val="en-GB"/>
        </w:rPr>
        <w:t xml:space="preserve">EDEH </w:t>
      </w:r>
      <w:r w:rsidR="00767D99">
        <w:rPr>
          <w:rFonts w:ascii="Times New Roman" w:eastAsiaTheme="majorEastAsia" w:hAnsi="Times New Roman" w:cs="Times New Roman"/>
          <w:sz w:val="24"/>
          <w:szCs w:val="24"/>
          <w:lang w:val="en-GB"/>
        </w:rPr>
        <w:t xml:space="preserve">(Equally Distributed Equivalent Health) </w:t>
      </w:r>
      <w:r>
        <w:rPr>
          <w:rFonts w:ascii="Times New Roman" w:eastAsiaTheme="majorEastAsia" w:hAnsi="Times New Roman" w:cs="Times New Roman"/>
          <w:sz w:val="24"/>
          <w:szCs w:val="24"/>
          <w:lang w:val="en-GB"/>
        </w:rPr>
        <w:t xml:space="preserve">welfare index </w:t>
      </w:r>
      <w:r w:rsidR="00406343" w:rsidRPr="00406343">
        <w:rPr>
          <w:rFonts w:ascii="Times New Roman" w:eastAsiaTheme="majorEastAsia" w:hAnsi="Times New Roman" w:cs="Times New Roman"/>
          <w:sz w:val="24"/>
          <w:szCs w:val="24"/>
          <w:lang w:val="en-GB"/>
        </w:rPr>
        <w:t>for each of the three NRT policies</w:t>
      </w:r>
      <w:r w:rsidR="00015CD4">
        <w:rPr>
          <w:rFonts w:ascii="Times New Roman" w:eastAsiaTheme="majorEastAsia" w:hAnsi="Times New Roman" w:cs="Times New Roman"/>
          <w:sz w:val="24"/>
          <w:szCs w:val="24"/>
          <w:lang w:val="en-GB"/>
        </w:rPr>
        <w:t xml:space="preserve"> </w:t>
      </w:r>
      <w:r w:rsidR="00406343" w:rsidRPr="00406343">
        <w:rPr>
          <w:rFonts w:ascii="Times New Roman" w:eastAsiaTheme="majorEastAsia" w:hAnsi="Times New Roman" w:cs="Times New Roman"/>
          <w:sz w:val="24"/>
          <w:szCs w:val="24"/>
          <w:lang w:val="en-GB"/>
        </w:rPr>
        <w:t xml:space="preserve">for different values of </w:t>
      </w:r>
      <m:oMath>
        <m:r>
          <w:rPr>
            <w:rFonts w:ascii="Cambria Math" w:eastAsiaTheme="majorEastAsia" w:hAnsi="Cambria Math" w:cs="Times New Roman"/>
            <w:sz w:val="24"/>
            <w:szCs w:val="24"/>
            <w:lang w:val="en-GB"/>
          </w:rPr>
          <m:t>η</m:t>
        </m:r>
      </m:oMath>
      <w:r w:rsidR="00406343" w:rsidRPr="00406343">
        <w:rPr>
          <w:rFonts w:ascii="Times New Roman" w:eastAsiaTheme="majorEastAsia" w:hAnsi="Times New Roman" w:cs="Times New Roman"/>
          <w:sz w:val="24"/>
          <w:szCs w:val="24"/>
          <w:lang w:val="en-GB"/>
        </w:rPr>
        <w:t>.</w:t>
      </w:r>
    </w:p>
    <w:p w14:paraId="5CC71204" w14:textId="30E9D433" w:rsidR="00454B8A" w:rsidRPr="00ED5F22" w:rsidRDefault="00A21E22" w:rsidP="00ED5F22">
      <w:pPr>
        <w:pStyle w:val="ListParagraph"/>
        <w:numPr>
          <w:ilvl w:val="0"/>
          <w:numId w:val="14"/>
        </w:numPr>
        <w:spacing w:line="360" w:lineRule="auto"/>
        <w:jc w:val="both"/>
        <w:rPr>
          <w:rFonts w:ascii="Times New Roman" w:eastAsiaTheme="majorEastAsia" w:hAnsi="Times New Roman" w:cs="Times New Roman"/>
          <w:sz w:val="24"/>
          <w:szCs w:val="24"/>
        </w:rPr>
      </w:pPr>
      <w:r w:rsidRPr="00ED5F22">
        <w:rPr>
          <w:rFonts w:ascii="Times New Roman" w:eastAsiaTheme="majorEastAsia" w:hAnsi="Times New Roman" w:cs="Times New Roman"/>
          <w:sz w:val="24"/>
          <w:szCs w:val="24"/>
        </w:rPr>
        <w:t xml:space="preserve">Complete </w:t>
      </w:r>
      <w:r w:rsidR="00ED5F22" w:rsidRPr="00ED5F22">
        <w:rPr>
          <w:rFonts w:ascii="Times New Roman" w:eastAsiaTheme="majorEastAsia" w:hAnsi="Times New Roman" w:cs="Times New Roman"/>
          <w:sz w:val="24"/>
          <w:szCs w:val="24"/>
        </w:rPr>
        <w:t xml:space="preserve">the </w:t>
      </w:r>
      <w:r w:rsidRPr="00ED5F22">
        <w:rPr>
          <w:rFonts w:ascii="Times New Roman" w:eastAsiaTheme="majorEastAsia" w:hAnsi="Times New Roman" w:cs="Times New Roman"/>
          <w:sz w:val="24"/>
          <w:szCs w:val="24"/>
        </w:rPr>
        <w:t>column “</w:t>
      </w:r>
      <w:r w:rsidR="003241F8">
        <w:rPr>
          <w:rFonts w:ascii="Times New Roman" w:eastAsiaTheme="majorEastAsia" w:hAnsi="Times New Roman" w:cs="Times New Roman"/>
          <w:sz w:val="24"/>
          <w:szCs w:val="24"/>
        </w:rPr>
        <w:t xml:space="preserve">Group </w:t>
      </w:r>
      <w:r w:rsidR="00015CD4" w:rsidRPr="00ED5F22">
        <w:rPr>
          <w:rFonts w:ascii="Times New Roman" w:eastAsiaTheme="majorEastAsia" w:hAnsi="Times New Roman" w:cs="Times New Roman"/>
          <w:sz w:val="24"/>
          <w:szCs w:val="24"/>
        </w:rPr>
        <w:t xml:space="preserve">Rank </w:t>
      </w:r>
      <w:r w:rsidRPr="00ED5F22">
        <w:rPr>
          <w:rFonts w:ascii="Times New Roman" w:eastAsiaTheme="majorEastAsia" w:hAnsi="Times New Roman" w:cs="Times New Roman"/>
          <w:sz w:val="24"/>
          <w:szCs w:val="24"/>
        </w:rPr>
        <w:t xml:space="preserve">HALE” </w:t>
      </w:r>
      <w:r w:rsidR="003241F8">
        <w:rPr>
          <w:rFonts w:ascii="Times New Roman" w:eastAsiaTheme="majorEastAsia" w:hAnsi="Times New Roman" w:cs="Times New Roman"/>
          <w:sz w:val="24"/>
          <w:szCs w:val="24"/>
        </w:rPr>
        <w:t xml:space="preserve">in Table 1 </w:t>
      </w:r>
      <w:r w:rsidRPr="00ED5F22">
        <w:rPr>
          <w:rFonts w:ascii="Times New Roman" w:eastAsiaTheme="majorEastAsia" w:hAnsi="Times New Roman" w:cs="Times New Roman"/>
          <w:sz w:val="24"/>
          <w:szCs w:val="24"/>
        </w:rPr>
        <w:t xml:space="preserve">by calculating the </w:t>
      </w:r>
      <w:r w:rsidR="003241F8">
        <w:rPr>
          <w:rFonts w:ascii="Times New Roman" w:eastAsiaTheme="majorEastAsia" w:hAnsi="Times New Roman" w:cs="Times New Roman"/>
          <w:sz w:val="24"/>
          <w:szCs w:val="24"/>
        </w:rPr>
        <w:t xml:space="preserve">health </w:t>
      </w:r>
      <w:r w:rsidRPr="00ED5F22">
        <w:rPr>
          <w:rFonts w:ascii="Times New Roman" w:eastAsiaTheme="majorEastAsia" w:hAnsi="Times New Roman" w:cs="Times New Roman"/>
          <w:sz w:val="24"/>
          <w:szCs w:val="24"/>
        </w:rPr>
        <w:t xml:space="preserve">rank of </w:t>
      </w:r>
      <w:r w:rsidR="00015CD4" w:rsidRPr="00ED5F22">
        <w:rPr>
          <w:rFonts w:ascii="Times New Roman" w:eastAsiaTheme="majorEastAsia" w:hAnsi="Times New Roman" w:cs="Times New Roman"/>
          <w:sz w:val="24"/>
          <w:szCs w:val="24"/>
        </w:rPr>
        <w:t xml:space="preserve">each </w:t>
      </w:r>
      <w:r w:rsidR="003241F8">
        <w:rPr>
          <w:rFonts w:ascii="Times New Roman" w:eastAsiaTheme="majorEastAsia" w:hAnsi="Times New Roman" w:cs="Times New Roman"/>
          <w:sz w:val="24"/>
          <w:szCs w:val="24"/>
        </w:rPr>
        <w:t xml:space="preserve">group </w:t>
      </w:r>
      <w:r w:rsidR="00015CD4" w:rsidRPr="00ED5F22">
        <w:rPr>
          <w:rFonts w:ascii="Times New Roman" w:eastAsiaTheme="majorEastAsia" w:hAnsi="Times New Roman" w:cs="Times New Roman"/>
          <w:sz w:val="24"/>
          <w:szCs w:val="24"/>
        </w:rPr>
        <w:t xml:space="preserve">from low HALE </w:t>
      </w:r>
      <w:r w:rsidR="003241F8">
        <w:rPr>
          <w:rFonts w:ascii="Times New Roman" w:eastAsiaTheme="majorEastAsia" w:hAnsi="Times New Roman" w:cs="Times New Roman"/>
          <w:sz w:val="24"/>
          <w:szCs w:val="24"/>
        </w:rPr>
        <w:t xml:space="preserve">(1) </w:t>
      </w:r>
      <w:r w:rsidR="00015CD4" w:rsidRPr="00ED5F22">
        <w:rPr>
          <w:rFonts w:ascii="Times New Roman" w:eastAsiaTheme="majorEastAsia" w:hAnsi="Times New Roman" w:cs="Times New Roman"/>
          <w:sz w:val="24"/>
          <w:szCs w:val="24"/>
        </w:rPr>
        <w:t>to high HALE</w:t>
      </w:r>
      <w:r w:rsidR="003241F8">
        <w:rPr>
          <w:rFonts w:ascii="Times New Roman" w:eastAsiaTheme="majorEastAsia" w:hAnsi="Times New Roman" w:cs="Times New Roman"/>
          <w:sz w:val="24"/>
          <w:szCs w:val="24"/>
        </w:rPr>
        <w:t xml:space="preserve"> (10)</w:t>
      </w:r>
      <w:r w:rsidR="00015CD4" w:rsidRPr="00ED5F22">
        <w:rPr>
          <w:rFonts w:ascii="Times New Roman" w:eastAsiaTheme="majorEastAsia" w:hAnsi="Times New Roman" w:cs="Times New Roman"/>
          <w:sz w:val="24"/>
          <w:szCs w:val="24"/>
        </w:rPr>
        <w:t xml:space="preserve">. You should confirm that in this </w:t>
      </w:r>
      <w:proofErr w:type="gramStart"/>
      <w:r w:rsidR="00015CD4" w:rsidRPr="00ED5F22">
        <w:rPr>
          <w:rFonts w:ascii="Times New Roman" w:eastAsiaTheme="majorEastAsia" w:hAnsi="Times New Roman" w:cs="Times New Roman"/>
          <w:sz w:val="24"/>
          <w:szCs w:val="24"/>
        </w:rPr>
        <w:t>particular example</w:t>
      </w:r>
      <w:proofErr w:type="gramEnd"/>
      <w:r w:rsidR="00015CD4" w:rsidRPr="00ED5F22">
        <w:rPr>
          <w:rFonts w:ascii="Times New Roman" w:eastAsiaTheme="majorEastAsia" w:hAnsi="Times New Roman" w:cs="Times New Roman"/>
          <w:sz w:val="24"/>
          <w:szCs w:val="24"/>
        </w:rPr>
        <w:t xml:space="preserve"> </w:t>
      </w:r>
      <w:r w:rsidRPr="00ED5F22">
        <w:rPr>
          <w:rFonts w:ascii="Times New Roman" w:eastAsiaTheme="majorEastAsia" w:hAnsi="Times New Roman" w:cs="Times New Roman"/>
          <w:sz w:val="24"/>
          <w:szCs w:val="24"/>
        </w:rPr>
        <w:t xml:space="preserve">the other two </w:t>
      </w:r>
      <w:r w:rsidR="00015CD4" w:rsidRPr="00ED5F22">
        <w:rPr>
          <w:rFonts w:ascii="Times New Roman" w:eastAsiaTheme="majorEastAsia" w:hAnsi="Times New Roman" w:cs="Times New Roman"/>
          <w:sz w:val="24"/>
          <w:szCs w:val="24"/>
        </w:rPr>
        <w:t>polic</w:t>
      </w:r>
      <w:r w:rsidRPr="00ED5F22">
        <w:rPr>
          <w:rFonts w:ascii="Times New Roman" w:eastAsiaTheme="majorEastAsia" w:hAnsi="Times New Roman" w:cs="Times New Roman"/>
          <w:sz w:val="24"/>
          <w:szCs w:val="24"/>
        </w:rPr>
        <w:t xml:space="preserve">y options HALE 2 and HALE 3 also </w:t>
      </w:r>
      <w:r w:rsidR="00015CD4" w:rsidRPr="00ED5F22">
        <w:rPr>
          <w:rFonts w:ascii="Times New Roman" w:eastAsiaTheme="majorEastAsia" w:hAnsi="Times New Roman" w:cs="Times New Roman"/>
          <w:sz w:val="24"/>
          <w:szCs w:val="24"/>
        </w:rPr>
        <w:t xml:space="preserve">lead to the same </w:t>
      </w:r>
      <w:r w:rsidR="003241F8">
        <w:rPr>
          <w:rFonts w:ascii="Times New Roman" w:eastAsiaTheme="majorEastAsia" w:hAnsi="Times New Roman" w:cs="Times New Roman"/>
          <w:sz w:val="24"/>
          <w:szCs w:val="24"/>
        </w:rPr>
        <w:t xml:space="preserve">health </w:t>
      </w:r>
      <w:r w:rsidR="00015CD4" w:rsidRPr="00ED5F22">
        <w:rPr>
          <w:rFonts w:ascii="Times New Roman" w:eastAsiaTheme="majorEastAsia" w:hAnsi="Times New Roman" w:cs="Times New Roman"/>
          <w:sz w:val="24"/>
          <w:szCs w:val="24"/>
        </w:rPr>
        <w:t>ranking of groups.</w:t>
      </w:r>
    </w:p>
    <w:p w14:paraId="0A3B0D79" w14:textId="30187BBC" w:rsidR="0009466A" w:rsidRPr="00B24662" w:rsidRDefault="0009466A" w:rsidP="006F578C">
      <w:pPr>
        <w:spacing w:line="360" w:lineRule="auto"/>
        <w:ind w:firstLine="720"/>
        <w:jc w:val="both"/>
        <w:rPr>
          <w:rFonts w:ascii="Times New Roman" w:eastAsiaTheme="majorEastAsia" w:hAnsi="Times New Roman" w:cs="Times New Roman"/>
          <w:sz w:val="24"/>
          <w:szCs w:val="24"/>
          <w:lang w:val="en-GB"/>
        </w:rPr>
      </w:pPr>
      <w:r w:rsidRPr="009058FD">
        <w:rPr>
          <w:rFonts w:ascii="Times New Roman" w:eastAsia="Calibri" w:hAnsi="Times New Roman" w:cs="Times New Roman"/>
          <w:i/>
          <w:sz w:val="24"/>
          <w:szCs w:val="24"/>
          <w:lang w:val="en-GB"/>
        </w:rPr>
        <w:t xml:space="preserve">Hint: use the function </w:t>
      </w:r>
      <w:proofErr w:type="gramStart"/>
      <w:r w:rsidRPr="009058FD">
        <w:rPr>
          <w:rFonts w:ascii="Times New Roman" w:eastAsia="Calibri" w:hAnsi="Times New Roman" w:cs="Times New Roman"/>
          <w:i/>
          <w:sz w:val="24"/>
          <w:szCs w:val="24"/>
          <w:lang w:val="en-GB"/>
        </w:rPr>
        <w:t>RANK(</w:t>
      </w:r>
      <w:proofErr w:type="gramEnd"/>
      <w:r w:rsidRPr="009058FD">
        <w:rPr>
          <w:rFonts w:ascii="Times New Roman" w:eastAsia="Calibri" w:hAnsi="Times New Roman" w:cs="Times New Roman"/>
          <w:i/>
          <w:sz w:val="24"/>
          <w:szCs w:val="24"/>
          <w:lang w:val="en-GB"/>
        </w:rPr>
        <w:t>… ;…;1)</w:t>
      </w:r>
    </w:p>
    <w:p w14:paraId="4A1295AA" w14:textId="5D35FB24" w:rsidR="00DE3805" w:rsidRPr="00DE3805" w:rsidRDefault="00454B8A" w:rsidP="006F578C">
      <w:pPr>
        <w:spacing w:line="360" w:lineRule="auto"/>
        <w:ind w:left="720" w:hanging="720"/>
        <w:jc w:val="both"/>
        <w:rPr>
          <w:rFonts w:ascii="Times New Roman" w:eastAsiaTheme="majorEastAsia" w:hAnsi="Times New Roman" w:cs="Times New Roman"/>
          <w:sz w:val="24"/>
          <w:szCs w:val="24"/>
          <w:lang w:val="en-GB"/>
        </w:rPr>
      </w:pPr>
      <w:r w:rsidRPr="00B24662">
        <w:rPr>
          <w:rFonts w:ascii="Times New Roman" w:eastAsiaTheme="majorEastAsia" w:hAnsi="Times New Roman" w:cs="Times New Roman"/>
          <w:sz w:val="24"/>
          <w:szCs w:val="24"/>
          <w:lang w:val="en-GB"/>
        </w:rPr>
        <w:t>ii.</w:t>
      </w:r>
      <w:r>
        <w:rPr>
          <w:rFonts w:ascii="Times New Roman" w:eastAsiaTheme="majorEastAsia" w:hAnsi="Times New Roman" w:cs="Times New Roman"/>
          <w:sz w:val="24"/>
          <w:szCs w:val="24"/>
          <w:lang w:val="en-GB"/>
        </w:rPr>
        <w:tab/>
      </w:r>
      <w:r w:rsidR="00A21E22">
        <w:rPr>
          <w:rFonts w:ascii="Times New Roman" w:eastAsiaTheme="majorEastAsia" w:hAnsi="Times New Roman" w:cs="Times New Roman"/>
          <w:sz w:val="24"/>
          <w:szCs w:val="24"/>
          <w:lang w:val="en-GB"/>
        </w:rPr>
        <w:t>C</w:t>
      </w:r>
      <w:r w:rsidR="00ED5F22">
        <w:rPr>
          <w:rFonts w:ascii="Times New Roman" w:eastAsiaTheme="majorEastAsia" w:hAnsi="Times New Roman" w:cs="Times New Roman"/>
          <w:sz w:val="24"/>
          <w:szCs w:val="24"/>
          <w:lang w:val="en-GB"/>
        </w:rPr>
        <w:t xml:space="preserve">heck you understand the values that should now appear in Table 2 – the </w:t>
      </w:r>
      <w:r w:rsidR="00DE3805" w:rsidRPr="00DE3805">
        <w:rPr>
          <w:rFonts w:ascii="Times New Roman" w:eastAsiaTheme="majorEastAsia" w:hAnsi="Times New Roman" w:cs="Times New Roman"/>
          <w:sz w:val="24"/>
          <w:szCs w:val="24"/>
          <w:lang w:val="en-GB"/>
        </w:rPr>
        <w:t xml:space="preserve">three </w:t>
      </w:r>
      <w:r w:rsidR="00ED5F22">
        <w:rPr>
          <w:rFonts w:ascii="Times New Roman" w:eastAsiaTheme="majorEastAsia" w:hAnsi="Times New Roman" w:cs="Times New Roman"/>
          <w:sz w:val="24"/>
          <w:szCs w:val="24"/>
          <w:lang w:val="en-GB"/>
        </w:rPr>
        <w:t xml:space="preserve">HALE </w:t>
      </w:r>
      <w:r w:rsidR="00DE3805" w:rsidRPr="00DE3805">
        <w:rPr>
          <w:rFonts w:ascii="Times New Roman" w:eastAsiaTheme="majorEastAsia" w:hAnsi="Times New Roman" w:cs="Times New Roman"/>
          <w:sz w:val="24"/>
          <w:szCs w:val="24"/>
          <w:lang w:val="en-GB"/>
        </w:rPr>
        <w:t>distribution</w:t>
      </w:r>
      <w:r w:rsidR="00ED5F22">
        <w:rPr>
          <w:rFonts w:ascii="Times New Roman" w:eastAsiaTheme="majorEastAsia" w:hAnsi="Times New Roman" w:cs="Times New Roman"/>
          <w:sz w:val="24"/>
          <w:szCs w:val="24"/>
          <w:lang w:val="en-GB"/>
        </w:rPr>
        <w:t xml:space="preserve">s </w:t>
      </w:r>
      <w:r w:rsidR="00DE3805" w:rsidRPr="00DE3805">
        <w:rPr>
          <w:rFonts w:ascii="Times New Roman" w:eastAsiaTheme="majorEastAsia" w:hAnsi="Times New Roman" w:cs="Times New Roman"/>
          <w:sz w:val="24"/>
          <w:szCs w:val="24"/>
          <w:lang w:val="en-GB"/>
        </w:rPr>
        <w:t xml:space="preserve">ranked according to </w:t>
      </w:r>
      <w:r w:rsidR="00ED5F22">
        <w:rPr>
          <w:rFonts w:ascii="Times New Roman" w:eastAsiaTheme="majorEastAsia" w:hAnsi="Times New Roman" w:cs="Times New Roman"/>
          <w:sz w:val="24"/>
          <w:szCs w:val="24"/>
          <w:lang w:val="en-GB"/>
        </w:rPr>
        <w:t>“</w:t>
      </w:r>
      <w:r w:rsidR="003241F8">
        <w:rPr>
          <w:rFonts w:ascii="Times New Roman" w:eastAsiaTheme="majorEastAsia" w:hAnsi="Times New Roman" w:cs="Times New Roman"/>
          <w:sz w:val="24"/>
          <w:szCs w:val="24"/>
          <w:lang w:val="en-GB"/>
        </w:rPr>
        <w:t xml:space="preserve">Group </w:t>
      </w:r>
      <w:r w:rsidR="00ED5F22">
        <w:rPr>
          <w:rFonts w:ascii="Times New Roman" w:eastAsiaTheme="majorEastAsia" w:hAnsi="Times New Roman" w:cs="Times New Roman"/>
          <w:sz w:val="24"/>
          <w:szCs w:val="24"/>
          <w:lang w:val="en-GB"/>
        </w:rPr>
        <w:t xml:space="preserve">Rank </w:t>
      </w:r>
      <w:r w:rsidR="00DE3805" w:rsidRPr="00DE3805">
        <w:rPr>
          <w:rFonts w:ascii="Times New Roman" w:eastAsiaTheme="majorEastAsia" w:hAnsi="Times New Roman" w:cs="Times New Roman"/>
          <w:sz w:val="24"/>
          <w:szCs w:val="24"/>
          <w:lang w:val="en-GB"/>
        </w:rPr>
        <w:t>HALE</w:t>
      </w:r>
      <w:r w:rsidR="00ED5F22">
        <w:rPr>
          <w:rFonts w:ascii="Times New Roman" w:eastAsiaTheme="majorEastAsia" w:hAnsi="Times New Roman" w:cs="Times New Roman"/>
          <w:sz w:val="24"/>
          <w:szCs w:val="24"/>
          <w:lang w:val="en-GB"/>
        </w:rPr>
        <w:t>”</w:t>
      </w:r>
      <w:r w:rsidR="00DE3805" w:rsidRPr="00DE3805">
        <w:rPr>
          <w:rFonts w:ascii="Times New Roman" w:eastAsiaTheme="majorEastAsia" w:hAnsi="Times New Roman" w:cs="Times New Roman"/>
          <w:sz w:val="24"/>
          <w:szCs w:val="24"/>
          <w:lang w:val="en-GB"/>
        </w:rPr>
        <w:t xml:space="preserve"> in Table 1</w:t>
      </w:r>
      <w:r w:rsidR="00ED5F22">
        <w:rPr>
          <w:rFonts w:ascii="Times New Roman" w:eastAsiaTheme="majorEastAsia" w:hAnsi="Times New Roman" w:cs="Times New Roman"/>
          <w:sz w:val="24"/>
          <w:szCs w:val="24"/>
          <w:lang w:val="en-GB"/>
        </w:rPr>
        <w:t xml:space="preserve"> using the VLOOKUP command, and the cumulative sum of group size.</w:t>
      </w:r>
    </w:p>
    <w:p w14:paraId="0FA89CC8" w14:textId="2AAB169D" w:rsidR="00C23B54" w:rsidRDefault="006F076B" w:rsidP="006F578C">
      <w:pPr>
        <w:spacing w:line="360" w:lineRule="auto"/>
        <w:ind w:left="720"/>
        <w:jc w:val="both"/>
        <w:rPr>
          <w:rFonts w:ascii="Times New Roman" w:eastAsiaTheme="majorEastAsia" w:hAnsi="Times New Roman" w:cs="Times New Roman"/>
          <w:i/>
          <w:sz w:val="24"/>
          <w:szCs w:val="24"/>
          <w:lang w:val="en-GB"/>
        </w:rPr>
      </w:pPr>
      <w:r w:rsidRPr="006F076B">
        <w:rPr>
          <w:rFonts w:ascii="Times New Roman" w:eastAsiaTheme="majorEastAsia" w:hAnsi="Times New Roman" w:cs="Times New Roman"/>
          <w:i/>
          <w:sz w:val="24"/>
          <w:szCs w:val="24"/>
          <w:lang w:val="en-GB"/>
        </w:rPr>
        <w:t xml:space="preserve">Note: </w:t>
      </w:r>
      <w:r w:rsidR="002E15EF">
        <w:rPr>
          <w:rFonts w:ascii="Times New Roman" w:eastAsiaTheme="majorEastAsia" w:hAnsi="Times New Roman" w:cs="Times New Roman"/>
          <w:i/>
          <w:sz w:val="24"/>
          <w:szCs w:val="24"/>
          <w:lang w:val="en-GB"/>
        </w:rPr>
        <w:t>The “Weight” column in Table 2</w:t>
      </w:r>
      <w:r w:rsidR="00EB2F63">
        <w:rPr>
          <w:rFonts w:ascii="Times New Roman" w:eastAsiaTheme="majorEastAsia" w:hAnsi="Times New Roman" w:cs="Times New Roman"/>
          <w:i/>
          <w:sz w:val="24"/>
          <w:szCs w:val="24"/>
          <w:lang w:val="en-GB"/>
        </w:rPr>
        <w:t xml:space="preserve"> </w:t>
      </w:r>
      <w:r w:rsidR="00142757">
        <w:rPr>
          <w:rFonts w:ascii="Times New Roman" w:eastAsiaTheme="majorEastAsia" w:hAnsi="Times New Roman" w:cs="Times New Roman"/>
          <w:i/>
          <w:sz w:val="24"/>
          <w:szCs w:val="24"/>
          <w:lang w:val="en-GB"/>
        </w:rPr>
        <w:t>contains</w:t>
      </w:r>
      <w:r w:rsidRPr="006F076B">
        <w:rPr>
          <w:rFonts w:ascii="Times New Roman" w:eastAsiaTheme="majorEastAsia" w:hAnsi="Times New Roman" w:cs="Times New Roman"/>
          <w:i/>
          <w:sz w:val="24"/>
          <w:szCs w:val="24"/>
          <w:lang w:val="en-GB"/>
        </w:rPr>
        <w:t xml:space="preserve"> the weighting function of the generalized </w:t>
      </w:r>
      <w:r w:rsidR="00EB2F63">
        <w:rPr>
          <w:rFonts w:ascii="Times New Roman" w:eastAsiaTheme="majorEastAsia" w:hAnsi="Times New Roman" w:cs="Times New Roman"/>
          <w:i/>
          <w:sz w:val="24"/>
          <w:szCs w:val="24"/>
          <w:lang w:val="en-GB"/>
        </w:rPr>
        <w:t>Gini</w:t>
      </w:r>
      <w:r w:rsidRPr="006F076B">
        <w:rPr>
          <w:rFonts w:ascii="Times New Roman" w:eastAsiaTheme="majorEastAsia" w:hAnsi="Times New Roman" w:cs="Times New Roman"/>
          <w:i/>
          <w:sz w:val="24"/>
          <w:szCs w:val="24"/>
          <w:lang w:val="en-GB"/>
        </w:rPr>
        <w:t xml:space="preserve"> index </w:t>
      </w:r>
      <m:oMath>
        <m:r>
          <w:rPr>
            <w:rFonts w:ascii="Cambria Math" w:eastAsiaTheme="majorEastAsia" w:hAnsi="Cambria Math" w:cs="Times New Roman"/>
            <w:sz w:val="24"/>
            <w:szCs w:val="24"/>
            <w:lang w:val="en-GB"/>
          </w:rPr>
          <m:t>1-</m:t>
        </m:r>
        <m:r>
          <w:rPr>
            <w:rFonts w:ascii="Cambria Math" w:eastAsia="Calibri" w:hAnsi="Cambria Math" w:cs="Times New Roman"/>
            <w:sz w:val="24"/>
            <w:szCs w:val="24"/>
            <w:lang w:val="en-GB"/>
          </w:rPr>
          <m:t>η</m:t>
        </m:r>
        <m:sSup>
          <m:sSupPr>
            <m:ctrlPr>
              <w:rPr>
                <w:rFonts w:ascii="Cambria Math" w:eastAsia="Calibri" w:hAnsi="Cambria Math" w:cs="Times New Roman"/>
                <w:i/>
                <w:sz w:val="24"/>
                <w:szCs w:val="24"/>
                <w:lang w:val="en-GB"/>
              </w:rPr>
            </m:ctrlPr>
          </m:sSupPr>
          <m:e>
            <m:d>
              <m:dPr>
                <m:ctrlPr>
                  <w:rPr>
                    <w:rFonts w:ascii="Cambria Math" w:eastAsia="Calibri" w:hAnsi="Cambria Math" w:cs="Times New Roman"/>
                    <w:i/>
                    <w:sz w:val="24"/>
                    <w:szCs w:val="24"/>
                    <w:lang w:val="en-GB"/>
                  </w:rPr>
                </m:ctrlPr>
              </m:dPr>
              <m:e>
                <m:r>
                  <w:rPr>
                    <w:rFonts w:ascii="Cambria Math" w:eastAsia="Calibri" w:hAnsi="Cambria Math" w:cs="Times New Roman"/>
                    <w:sz w:val="24"/>
                    <w:szCs w:val="24"/>
                    <w:lang w:val="en-GB"/>
                  </w:rPr>
                  <m:t>1-p</m:t>
                </m:r>
              </m:e>
            </m:d>
          </m:e>
          <m:sup>
            <m:r>
              <w:rPr>
                <w:rFonts w:ascii="Cambria Math" w:eastAsia="Calibri" w:hAnsi="Cambria Math" w:cs="Times New Roman"/>
                <w:sz w:val="24"/>
                <w:szCs w:val="24"/>
                <w:lang w:val="en-GB"/>
              </w:rPr>
              <m:t>η-1</m:t>
            </m:r>
          </m:sup>
        </m:sSup>
      </m:oMath>
      <w:r w:rsidR="00297D0A">
        <w:rPr>
          <w:rFonts w:ascii="Times New Roman" w:eastAsiaTheme="majorEastAsia" w:hAnsi="Times New Roman" w:cs="Times New Roman"/>
          <w:sz w:val="24"/>
          <w:szCs w:val="24"/>
          <w:lang w:val="en-GB"/>
        </w:rPr>
        <w:t xml:space="preserve">, where </w:t>
      </w:r>
      <m:oMath>
        <m:r>
          <w:rPr>
            <w:rFonts w:ascii="Cambria Math" w:eastAsia="Calibri" w:hAnsi="Cambria Math" w:cs="Times New Roman"/>
            <w:sz w:val="24"/>
            <w:szCs w:val="24"/>
            <w:lang w:val="en-GB"/>
          </w:rPr>
          <m:t>η</m:t>
        </m:r>
      </m:oMath>
      <w:r w:rsidR="00297D0A">
        <w:rPr>
          <w:rFonts w:ascii="Times New Roman" w:eastAsiaTheme="majorEastAsia" w:hAnsi="Times New Roman" w:cs="Times New Roman"/>
          <w:sz w:val="24"/>
          <w:szCs w:val="24"/>
          <w:lang w:val="en-GB"/>
        </w:rPr>
        <w:t xml:space="preserve"> is the inequality aversion parameter set to 1.05 in the red highlighted cell B19 and </w:t>
      </w:r>
      <m:oMath>
        <m:r>
          <w:rPr>
            <w:rFonts w:ascii="Cambria Math" w:eastAsia="Calibri" w:hAnsi="Cambria Math" w:cs="Times New Roman"/>
            <w:sz w:val="24"/>
            <w:szCs w:val="24"/>
            <w:lang w:val="en-GB"/>
          </w:rPr>
          <m:t>p</m:t>
        </m:r>
      </m:oMath>
      <w:r w:rsidR="00297D0A">
        <w:rPr>
          <w:rFonts w:ascii="Times New Roman" w:eastAsiaTheme="majorEastAsia" w:hAnsi="Times New Roman" w:cs="Times New Roman"/>
          <w:sz w:val="24"/>
          <w:szCs w:val="24"/>
          <w:lang w:val="en-GB"/>
        </w:rPr>
        <w:t xml:space="preserve"> is the individual health rank.</w:t>
      </w:r>
      <w:r w:rsidR="00142757">
        <w:rPr>
          <w:rFonts w:ascii="Times New Roman" w:eastAsiaTheme="majorEastAsia" w:hAnsi="Times New Roman" w:cs="Times New Roman"/>
          <w:i/>
          <w:sz w:val="24"/>
          <w:szCs w:val="24"/>
          <w:lang w:val="en-GB"/>
        </w:rPr>
        <w:t xml:space="preserve"> This weighing function </w:t>
      </w:r>
      <w:r w:rsidR="00E437B4">
        <w:rPr>
          <w:rFonts w:ascii="Times New Roman" w:eastAsiaTheme="majorEastAsia" w:hAnsi="Times New Roman" w:cs="Times New Roman"/>
          <w:i/>
          <w:sz w:val="24"/>
          <w:szCs w:val="24"/>
          <w:lang w:val="en-GB"/>
        </w:rPr>
        <w:t xml:space="preserve">can be </w:t>
      </w:r>
      <w:r w:rsidR="009B435F">
        <w:rPr>
          <w:rFonts w:ascii="Times New Roman" w:eastAsiaTheme="majorEastAsia" w:hAnsi="Times New Roman" w:cs="Times New Roman"/>
          <w:i/>
          <w:sz w:val="24"/>
          <w:szCs w:val="24"/>
          <w:lang w:val="en-GB"/>
        </w:rPr>
        <w:t xml:space="preserve">derived from </w:t>
      </w:r>
      <w:r w:rsidR="00F54816">
        <w:rPr>
          <w:rFonts w:ascii="Times New Roman" w:eastAsiaTheme="majorEastAsia" w:hAnsi="Times New Roman" w:cs="Times New Roman"/>
          <w:i/>
          <w:sz w:val="24"/>
          <w:szCs w:val="24"/>
          <w:lang w:val="en-GB"/>
        </w:rPr>
        <w:t>rewriting</w:t>
      </w:r>
      <w:r w:rsidR="009B435F">
        <w:rPr>
          <w:rFonts w:ascii="Times New Roman" w:eastAsiaTheme="majorEastAsia" w:hAnsi="Times New Roman" w:cs="Times New Roman"/>
          <w:i/>
          <w:sz w:val="24"/>
          <w:szCs w:val="24"/>
          <w:lang w:val="en-GB"/>
        </w:rPr>
        <w:t xml:space="preserve"> </w:t>
      </w:r>
      <m:oMath>
        <m:r>
          <w:rPr>
            <w:rFonts w:ascii="Cambria Math" w:eastAsiaTheme="majorEastAsia" w:hAnsi="Cambria Math" w:cs="Times New Roman"/>
            <w:sz w:val="24"/>
            <w:szCs w:val="24"/>
            <w:lang w:val="en-GB"/>
          </w:rPr>
          <m:t>EDEH=</m:t>
        </m:r>
        <m:sSub>
          <m:sSubPr>
            <m:ctrlPr>
              <w:rPr>
                <w:rFonts w:ascii="Cambria Math" w:eastAsiaTheme="majorEastAsia" w:hAnsi="Cambria Math" w:cs="Times New Roman"/>
                <w:i/>
                <w:sz w:val="24"/>
                <w:szCs w:val="24"/>
                <w:lang w:val="en-GB"/>
              </w:rPr>
            </m:ctrlPr>
          </m:sSubPr>
          <m:e>
            <m:r>
              <w:rPr>
                <w:rFonts w:ascii="Cambria Math" w:eastAsiaTheme="majorEastAsia" w:hAnsi="Cambria Math" w:cs="Times New Roman"/>
                <w:sz w:val="24"/>
                <w:szCs w:val="24"/>
                <w:lang w:val="en-GB"/>
              </w:rPr>
              <m:t>W</m:t>
            </m:r>
          </m:e>
          <m:sub>
            <m:r>
              <w:rPr>
                <w:rFonts w:ascii="Cambria Math" w:eastAsiaTheme="majorEastAsia" w:hAnsi="Cambria Math" w:cs="Times New Roman"/>
                <w:sz w:val="24"/>
                <w:szCs w:val="24"/>
                <w:lang w:val="en-GB"/>
              </w:rPr>
              <m:t>w</m:t>
            </m:r>
          </m:sub>
        </m:sSub>
        <m:d>
          <m:dPr>
            <m:ctrlPr>
              <w:rPr>
                <w:rFonts w:ascii="Cambria Math" w:eastAsiaTheme="majorEastAsia" w:hAnsi="Cambria Math" w:cs="Times New Roman"/>
                <w:i/>
                <w:sz w:val="24"/>
                <w:szCs w:val="24"/>
                <w:lang w:val="en-GB"/>
              </w:rPr>
            </m:ctrlPr>
          </m:dPr>
          <m:e>
            <m:r>
              <w:rPr>
                <w:rFonts w:ascii="Cambria Math" w:eastAsiaTheme="majorEastAsia" w:hAnsi="Cambria Math" w:cs="Times New Roman"/>
                <w:sz w:val="24"/>
                <w:szCs w:val="24"/>
                <w:lang w:val="en-GB"/>
              </w:rPr>
              <m:t>F</m:t>
            </m:r>
          </m:e>
        </m:d>
        <m:r>
          <w:rPr>
            <w:rFonts w:ascii="Cambria Math" w:eastAsiaTheme="majorEastAsia" w:hAnsi="Cambria Math" w:cs="Times New Roman"/>
            <w:sz w:val="24"/>
            <w:szCs w:val="24"/>
            <w:lang w:val="en-GB"/>
          </w:rPr>
          <m:t>=</m:t>
        </m:r>
        <m:d>
          <m:dPr>
            <m:ctrlPr>
              <w:rPr>
                <w:rFonts w:ascii="Cambria Math" w:eastAsiaTheme="majorEastAsia" w:hAnsi="Cambria Math" w:cs="Times New Roman"/>
                <w:i/>
                <w:sz w:val="24"/>
                <w:szCs w:val="24"/>
                <w:lang w:val="en-GB"/>
              </w:rPr>
            </m:ctrlPr>
          </m:dPr>
          <m:e>
            <m:r>
              <w:rPr>
                <w:rFonts w:ascii="Cambria Math" w:eastAsiaTheme="majorEastAsia" w:hAnsi="Cambria Math" w:cs="Times New Roman"/>
                <w:sz w:val="24"/>
                <w:szCs w:val="24"/>
                <w:lang w:val="en-GB"/>
              </w:rPr>
              <m:t>1-</m:t>
            </m:r>
            <m:sSub>
              <m:sSubPr>
                <m:ctrlPr>
                  <w:rPr>
                    <w:rFonts w:ascii="Cambria Math" w:eastAsiaTheme="majorEastAsia" w:hAnsi="Cambria Math" w:cs="Times New Roman"/>
                    <w:i/>
                    <w:sz w:val="24"/>
                    <w:szCs w:val="24"/>
                    <w:lang w:val="en-GB"/>
                  </w:rPr>
                </m:ctrlPr>
              </m:sSubPr>
              <m:e>
                <m:r>
                  <w:rPr>
                    <w:rFonts w:ascii="Cambria Math" w:eastAsiaTheme="majorEastAsia" w:hAnsi="Cambria Math" w:cs="Times New Roman"/>
                    <w:sz w:val="24"/>
                    <w:szCs w:val="24"/>
                    <w:lang w:val="en-GB"/>
                  </w:rPr>
                  <m:t>I</m:t>
                </m:r>
              </m:e>
              <m:sub>
                <m:r>
                  <w:rPr>
                    <w:rFonts w:ascii="Cambria Math" w:eastAsiaTheme="majorEastAsia" w:hAnsi="Cambria Math" w:cs="Times New Roman"/>
                    <w:sz w:val="24"/>
                    <w:szCs w:val="24"/>
                    <w:lang w:val="en-GB"/>
                  </w:rPr>
                  <m:t>ω</m:t>
                </m:r>
              </m:sub>
            </m:sSub>
          </m:e>
        </m:d>
        <m:r>
          <w:rPr>
            <w:rFonts w:ascii="Cambria Math" w:eastAsiaTheme="majorEastAsia" w:hAnsi="Cambria Math" w:cs="Times New Roman"/>
            <w:sz w:val="24"/>
            <w:szCs w:val="24"/>
            <w:lang w:val="en-GB"/>
          </w:rPr>
          <m:t>μ=</m:t>
        </m:r>
        <m:nary>
          <m:naryPr>
            <m:limLoc m:val="subSup"/>
            <m:ctrlPr>
              <w:rPr>
                <w:rFonts w:ascii="Cambria Math" w:eastAsiaTheme="majorEastAsia" w:hAnsi="Cambria Math" w:cs="Times New Roman"/>
                <w:i/>
                <w:sz w:val="24"/>
                <w:szCs w:val="24"/>
                <w:lang w:val="en-GB"/>
              </w:rPr>
            </m:ctrlPr>
          </m:naryPr>
          <m:sub>
            <m:r>
              <w:rPr>
                <w:rFonts w:ascii="Cambria Math" w:eastAsiaTheme="majorEastAsia" w:hAnsi="Cambria Math" w:cs="Times New Roman"/>
                <w:sz w:val="24"/>
                <w:szCs w:val="24"/>
                <w:lang w:val="en-GB"/>
              </w:rPr>
              <m:t>0</m:t>
            </m:r>
          </m:sub>
          <m:sup>
            <m:r>
              <w:rPr>
                <w:rFonts w:ascii="Cambria Math" w:eastAsiaTheme="majorEastAsia" w:hAnsi="Cambria Math" w:cs="Times New Roman"/>
                <w:sz w:val="24"/>
                <w:szCs w:val="24"/>
                <w:lang w:val="en-GB"/>
              </w:rPr>
              <m:t>1</m:t>
            </m:r>
          </m:sup>
          <m:e>
            <m:r>
              <w:rPr>
                <w:rFonts w:ascii="Cambria Math" w:eastAsia="Calibri" w:hAnsi="Cambria Math" w:cs="Times New Roman"/>
                <w:sz w:val="24"/>
                <w:szCs w:val="24"/>
                <w:lang w:val="en-GB"/>
              </w:rPr>
              <m:t>η</m:t>
            </m:r>
            <m:sSup>
              <m:sSupPr>
                <m:ctrlPr>
                  <w:rPr>
                    <w:rFonts w:ascii="Cambria Math" w:eastAsia="Calibri" w:hAnsi="Cambria Math" w:cs="Times New Roman"/>
                    <w:i/>
                    <w:sz w:val="24"/>
                    <w:szCs w:val="24"/>
                    <w:lang w:val="en-GB"/>
                  </w:rPr>
                </m:ctrlPr>
              </m:sSupPr>
              <m:e>
                <m:d>
                  <m:dPr>
                    <m:ctrlPr>
                      <w:rPr>
                        <w:rFonts w:ascii="Cambria Math" w:eastAsia="Calibri" w:hAnsi="Cambria Math" w:cs="Times New Roman"/>
                        <w:i/>
                        <w:sz w:val="24"/>
                        <w:szCs w:val="24"/>
                        <w:lang w:val="en-GB"/>
                      </w:rPr>
                    </m:ctrlPr>
                  </m:dPr>
                  <m:e>
                    <m:r>
                      <w:rPr>
                        <w:rFonts w:ascii="Cambria Math" w:eastAsia="Calibri" w:hAnsi="Cambria Math" w:cs="Times New Roman"/>
                        <w:sz w:val="24"/>
                        <w:szCs w:val="24"/>
                        <w:lang w:val="en-GB"/>
                      </w:rPr>
                      <m:t>1-p</m:t>
                    </m:r>
                  </m:e>
                </m:d>
              </m:e>
              <m:sup>
                <m:r>
                  <w:rPr>
                    <w:rFonts w:ascii="Cambria Math" w:eastAsia="Calibri" w:hAnsi="Cambria Math" w:cs="Times New Roman"/>
                    <w:sz w:val="24"/>
                    <w:szCs w:val="24"/>
                    <w:lang w:val="en-GB"/>
                  </w:rPr>
                  <m:t>η-1</m:t>
                </m:r>
              </m:sup>
            </m:sSup>
            <m:sSup>
              <m:sSupPr>
                <m:ctrlPr>
                  <w:rPr>
                    <w:rFonts w:ascii="Cambria Math" w:eastAsia="Calibri" w:hAnsi="Cambria Math" w:cs="Times New Roman"/>
                    <w:i/>
                    <w:sz w:val="24"/>
                    <w:szCs w:val="24"/>
                    <w:lang w:val="en-GB"/>
                  </w:rPr>
                </m:ctrlPr>
              </m:sSupPr>
              <m:e>
                <m:r>
                  <w:rPr>
                    <w:rFonts w:ascii="Cambria Math" w:eastAsia="Calibri" w:hAnsi="Cambria Math" w:cs="Times New Roman"/>
                    <w:sz w:val="24"/>
                    <w:szCs w:val="24"/>
                    <w:lang w:val="en-GB"/>
                  </w:rPr>
                  <m:t>F</m:t>
                </m:r>
              </m:e>
              <m:sup>
                <m:r>
                  <w:rPr>
                    <w:rFonts w:ascii="Cambria Math" w:eastAsia="Calibri" w:hAnsi="Cambria Math" w:cs="Times New Roman"/>
                    <w:sz w:val="24"/>
                    <w:szCs w:val="24"/>
                    <w:lang w:val="en-GB"/>
                  </w:rPr>
                  <m:t>-1</m:t>
                </m:r>
              </m:sup>
            </m:sSup>
            <m:d>
              <m:dPr>
                <m:ctrlPr>
                  <w:rPr>
                    <w:rFonts w:ascii="Cambria Math" w:eastAsia="Calibri" w:hAnsi="Cambria Math" w:cs="Times New Roman"/>
                    <w:i/>
                    <w:sz w:val="24"/>
                    <w:szCs w:val="24"/>
                    <w:lang w:val="en-GB"/>
                  </w:rPr>
                </m:ctrlPr>
              </m:dPr>
              <m:e>
                <m:r>
                  <w:rPr>
                    <w:rFonts w:ascii="Cambria Math" w:eastAsia="Calibri" w:hAnsi="Cambria Math" w:cs="Times New Roman"/>
                    <w:sz w:val="24"/>
                    <w:szCs w:val="24"/>
                    <w:lang w:val="en-GB"/>
                  </w:rPr>
                  <m:t>p</m:t>
                </m:r>
              </m:e>
            </m:d>
            <m:r>
              <w:rPr>
                <w:rFonts w:ascii="Cambria Math" w:eastAsia="Calibri" w:hAnsi="Cambria Math" w:cs="Times New Roman"/>
                <w:sz w:val="24"/>
                <w:szCs w:val="24"/>
                <w:lang w:val="en-GB"/>
              </w:rPr>
              <m:t>dp</m:t>
            </m:r>
          </m:e>
        </m:nary>
      </m:oMath>
      <w:r w:rsidR="008E2FC5">
        <w:rPr>
          <w:rFonts w:ascii="Times New Roman" w:eastAsiaTheme="majorEastAsia" w:hAnsi="Times New Roman" w:cs="Times New Roman"/>
          <w:i/>
          <w:sz w:val="24"/>
          <w:szCs w:val="24"/>
          <w:lang w:val="en-GB"/>
        </w:rPr>
        <w:t xml:space="preserve"> </w:t>
      </w:r>
      <w:r w:rsidR="004013E3">
        <w:rPr>
          <w:rFonts w:ascii="Times New Roman" w:eastAsiaTheme="majorEastAsia" w:hAnsi="Times New Roman" w:cs="Times New Roman"/>
          <w:i/>
          <w:sz w:val="24"/>
          <w:szCs w:val="24"/>
          <w:lang w:val="en-GB"/>
        </w:rPr>
        <w:t xml:space="preserve">(see also </w:t>
      </w:r>
      <w:r w:rsidR="008E2FC5">
        <w:rPr>
          <w:rFonts w:ascii="Times New Roman" w:eastAsiaTheme="majorEastAsia" w:hAnsi="Times New Roman" w:cs="Times New Roman"/>
          <w:i/>
          <w:sz w:val="24"/>
          <w:szCs w:val="24"/>
          <w:lang w:val="en-GB"/>
        </w:rPr>
        <w:t>footnote 11 of chapter 12</w:t>
      </w:r>
      <w:r w:rsidR="004013E3">
        <w:rPr>
          <w:rFonts w:ascii="Times New Roman" w:eastAsiaTheme="majorEastAsia" w:hAnsi="Times New Roman" w:cs="Times New Roman"/>
          <w:i/>
          <w:sz w:val="24"/>
          <w:szCs w:val="24"/>
          <w:lang w:val="en-GB"/>
        </w:rPr>
        <w:t>)</w:t>
      </w:r>
      <w:r w:rsidR="00F54816">
        <w:rPr>
          <w:rFonts w:ascii="Times New Roman" w:eastAsiaTheme="majorEastAsia" w:hAnsi="Times New Roman" w:cs="Times New Roman"/>
          <w:i/>
          <w:sz w:val="24"/>
          <w:szCs w:val="24"/>
          <w:lang w:val="en-GB"/>
        </w:rPr>
        <w:t xml:space="preserve">, i.e. </w:t>
      </w:r>
      <m:oMath>
        <m:sSub>
          <m:sSubPr>
            <m:ctrlPr>
              <w:rPr>
                <w:rFonts w:ascii="Cambria Math" w:eastAsiaTheme="majorEastAsia" w:hAnsi="Cambria Math" w:cs="Times New Roman"/>
                <w:i/>
                <w:sz w:val="24"/>
                <w:szCs w:val="24"/>
                <w:lang w:val="en-GB"/>
              </w:rPr>
            </m:ctrlPr>
          </m:sSubPr>
          <m:e>
            <m:r>
              <w:rPr>
                <w:rFonts w:ascii="Cambria Math" w:eastAsiaTheme="majorEastAsia" w:hAnsi="Cambria Math" w:cs="Times New Roman"/>
                <w:sz w:val="24"/>
                <w:szCs w:val="24"/>
                <w:lang w:val="en-GB"/>
              </w:rPr>
              <m:t>I</m:t>
            </m:r>
          </m:e>
          <m:sub>
            <m:r>
              <w:rPr>
                <w:rFonts w:ascii="Cambria Math" w:eastAsiaTheme="majorEastAsia" w:hAnsi="Cambria Math" w:cs="Times New Roman"/>
                <w:sz w:val="24"/>
                <w:szCs w:val="24"/>
                <w:lang w:val="en-GB"/>
              </w:rPr>
              <m:t>ω</m:t>
            </m:r>
          </m:sub>
        </m:sSub>
        <m:r>
          <w:rPr>
            <w:rFonts w:ascii="Cambria Math" w:eastAsiaTheme="majorEastAsia" w:hAnsi="Cambria Math" w:cs="Times New Roman"/>
            <w:sz w:val="24"/>
            <w:szCs w:val="24"/>
            <w:lang w:val="en-GB"/>
          </w:rPr>
          <m:t>=</m:t>
        </m:r>
        <m:f>
          <m:fPr>
            <m:ctrlPr>
              <w:rPr>
                <w:rFonts w:ascii="Cambria Math" w:eastAsiaTheme="majorEastAsia" w:hAnsi="Cambria Math" w:cs="Times New Roman"/>
                <w:i/>
                <w:sz w:val="24"/>
                <w:szCs w:val="24"/>
                <w:lang w:val="en-GB"/>
              </w:rPr>
            </m:ctrlPr>
          </m:fPr>
          <m:num>
            <m:d>
              <m:dPr>
                <m:ctrlPr>
                  <w:rPr>
                    <w:rFonts w:ascii="Cambria Math" w:eastAsiaTheme="majorEastAsia" w:hAnsi="Cambria Math" w:cs="Times New Roman"/>
                    <w:i/>
                    <w:sz w:val="24"/>
                    <w:szCs w:val="24"/>
                    <w:lang w:val="en-GB"/>
                  </w:rPr>
                </m:ctrlPr>
              </m:dPr>
              <m:e>
                <m:r>
                  <w:rPr>
                    <w:rFonts w:ascii="Cambria Math" w:eastAsiaTheme="majorEastAsia" w:hAnsi="Cambria Math" w:cs="Times New Roman"/>
                    <w:sz w:val="24"/>
                    <w:szCs w:val="24"/>
                    <w:lang w:val="en-GB"/>
                  </w:rPr>
                  <m:t>μ-EDEH</m:t>
                </m:r>
              </m:e>
            </m:d>
          </m:num>
          <m:den>
            <m:r>
              <w:rPr>
                <w:rFonts w:ascii="Cambria Math" w:eastAsiaTheme="majorEastAsia" w:hAnsi="Cambria Math" w:cs="Times New Roman"/>
                <w:sz w:val="24"/>
                <w:szCs w:val="24"/>
                <w:lang w:val="en-GB"/>
              </w:rPr>
              <m:t>μ</m:t>
            </m:r>
          </m:den>
        </m:f>
        <m:r>
          <w:rPr>
            <w:rFonts w:ascii="Cambria Math" w:eastAsiaTheme="majorEastAsia" w:hAnsi="Cambria Math" w:cs="Times New Roman"/>
            <w:sz w:val="24"/>
            <w:szCs w:val="24"/>
            <w:lang w:val="en-GB"/>
          </w:rPr>
          <m:t>=</m:t>
        </m:r>
        <m:f>
          <m:fPr>
            <m:ctrlPr>
              <w:rPr>
                <w:rFonts w:ascii="Cambria Math" w:eastAsiaTheme="majorEastAsia" w:hAnsi="Cambria Math" w:cs="Times New Roman"/>
                <w:i/>
                <w:sz w:val="24"/>
                <w:szCs w:val="24"/>
                <w:lang w:val="en-GB"/>
              </w:rPr>
            </m:ctrlPr>
          </m:fPr>
          <m:num>
            <m:r>
              <w:rPr>
                <w:rFonts w:ascii="Cambria Math" w:eastAsiaTheme="majorEastAsia" w:hAnsi="Cambria Math" w:cs="Times New Roman"/>
                <w:sz w:val="24"/>
                <w:szCs w:val="24"/>
                <w:lang w:val="en-GB"/>
              </w:rPr>
              <m:t>μ-</m:t>
            </m:r>
            <m:nary>
              <m:naryPr>
                <m:limLoc m:val="subSup"/>
                <m:ctrlPr>
                  <w:rPr>
                    <w:rFonts w:ascii="Cambria Math" w:eastAsiaTheme="majorEastAsia" w:hAnsi="Cambria Math" w:cs="Times New Roman"/>
                    <w:i/>
                    <w:sz w:val="24"/>
                    <w:szCs w:val="24"/>
                    <w:lang w:val="en-GB"/>
                  </w:rPr>
                </m:ctrlPr>
              </m:naryPr>
              <m:sub>
                <m:r>
                  <w:rPr>
                    <w:rFonts w:ascii="Cambria Math" w:eastAsiaTheme="majorEastAsia" w:hAnsi="Cambria Math" w:cs="Times New Roman"/>
                    <w:sz w:val="24"/>
                    <w:szCs w:val="24"/>
                    <w:lang w:val="en-GB"/>
                  </w:rPr>
                  <m:t>0</m:t>
                </m:r>
              </m:sub>
              <m:sup>
                <m:r>
                  <w:rPr>
                    <w:rFonts w:ascii="Cambria Math" w:eastAsiaTheme="majorEastAsia" w:hAnsi="Cambria Math" w:cs="Times New Roman"/>
                    <w:sz w:val="24"/>
                    <w:szCs w:val="24"/>
                    <w:lang w:val="en-GB"/>
                  </w:rPr>
                  <m:t>1</m:t>
                </m:r>
              </m:sup>
              <m:e>
                <m:r>
                  <w:rPr>
                    <w:rFonts w:ascii="Cambria Math" w:eastAsia="Calibri" w:hAnsi="Cambria Math" w:cs="Times New Roman"/>
                    <w:sz w:val="24"/>
                    <w:szCs w:val="24"/>
                    <w:lang w:val="en-GB"/>
                  </w:rPr>
                  <m:t>η</m:t>
                </m:r>
                <m:sSup>
                  <m:sSupPr>
                    <m:ctrlPr>
                      <w:rPr>
                        <w:rFonts w:ascii="Cambria Math" w:eastAsia="Calibri" w:hAnsi="Cambria Math" w:cs="Times New Roman"/>
                        <w:i/>
                        <w:sz w:val="24"/>
                        <w:szCs w:val="24"/>
                        <w:lang w:val="en-GB"/>
                      </w:rPr>
                    </m:ctrlPr>
                  </m:sSupPr>
                  <m:e>
                    <m:d>
                      <m:dPr>
                        <m:ctrlPr>
                          <w:rPr>
                            <w:rFonts w:ascii="Cambria Math" w:eastAsia="Calibri" w:hAnsi="Cambria Math" w:cs="Times New Roman"/>
                            <w:i/>
                            <w:sz w:val="24"/>
                            <w:szCs w:val="24"/>
                            <w:lang w:val="en-GB"/>
                          </w:rPr>
                        </m:ctrlPr>
                      </m:dPr>
                      <m:e>
                        <m:r>
                          <w:rPr>
                            <w:rFonts w:ascii="Cambria Math" w:eastAsia="Calibri" w:hAnsi="Cambria Math" w:cs="Times New Roman"/>
                            <w:sz w:val="24"/>
                            <w:szCs w:val="24"/>
                            <w:lang w:val="en-GB"/>
                          </w:rPr>
                          <m:t>1-p</m:t>
                        </m:r>
                      </m:e>
                    </m:d>
                  </m:e>
                  <m:sup>
                    <m:r>
                      <w:rPr>
                        <w:rFonts w:ascii="Cambria Math" w:eastAsia="Calibri" w:hAnsi="Cambria Math" w:cs="Times New Roman"/>
                        <w:sz w:val="24"/>
                        <w:szCs w:val="24"/>
                        <w:lang w:val="en-GB"/>
                      </w:rPr>
                      <m:t>η-1</m:t>
                    </m:r>
                  </m:sup>
                </m:sSup>
                <m:sSup>
                  <m:sSupPr>
                    <m:ctrlPr>
                      <w:rPr>
                        <w:rFonts w:ascii="Cambria Math" w:eastAsia="Calibri" w:hAnsi="Cambria Math" w:cs="Times New Roman"/>
                        <w:i/>
                        <w:sz w:val="24"/>
                        <w:szCs w:val="24"/>
                        <w:lang w:val="en-GB"/>
                      </w:rPr>
                    </m:ctrlPr>
                  </m:sSupPr>
                  <m:e>
                    <m:r>
                      <w:rPr>
                        <w:rFonts w:ascii="Cambria Math" w:eastAsia="Calibri" w:hAnsi="Cambria Math" w:cs="Times New Roman"/>
                        <w:sz w:val="24"/>
                        <w:szCs w:val="24"/>
                        <w:lang w:val="en-GB"/>
                      </w:rPr>
                      <m:t>F</m:t>
                    </m:r>
                  </m:e>
                  <m:sup>
                    <m:r>
                      <w:rPr>
                        <w:rFonts w:ascii="Cambria Math" w:eastAsia="Calibri" w:hAnsi="Cambria Math" w:cs="Times New Roman"/>
                        <w:sz w:val="24"/>
                        <w:szCs w:val="24"/>
                        <w:lang w:val="en-GB"/>
                      </w:rPr>
                      <m:t>-1</m:t>
                    </m:r>
                  </m:sup>
                </m:sSup>
                <m:d>
                  <m:dPr>
                    <m:ctrlPr>
                      <w:rPr>
                        <w:rFonts w:ascii="Cambria Math" w:eastAsia="Calibri" w:hAnsi="Cambria Math" w:cs="Times New Roman"/>
                        <w:i/>
                        <w:sz w:val="24"/>
                        <w:szCs w:val="24"/>
                        <w:lang w:val="en-GB"/>
                      </w:rPr>
                    </m:ctrlPr>
                  </m:dPr>
                  <m:e>
                    <m:r>
                      <w:rPr>
                        <w:rFonts w:ascii="Cambria Math" w:eastAsia="Calibri" w:hAnsi="Cambria Math" w:cs="Times New Roman"/>
                        <w:sz w:val="24"/>
                        <w:szCs w:val="24"/>
                        <w:lang w:val="en-GB"/>
                      </w:rPr>
                      <m:t>p</m:t>
                    </m:r>
                  </m:e>
                </m:d>
                <m:r>
                  <w:rPr>
                    <w:rFonts w:ascii="Cambria Math" w:eastAsia="Calibri" w:hAnsi="Cambria Math" w:cs="Times New Roman"/>
                    <w:sz w:val="24"/>
                    <w:szCs w:val="24"/>
                    <w:lang w:val="en-GB"/>
                  </w:rPr>
                  <m:t>dp</m:t>
                </m:r>
              </m:e>
            </m:nary>
          </m:num>
          <m:den>
            <m:r>
              <w:rPr>
                <w:rFonts w:ascii="Cambria Math" w:eastAsiaTheme="majorEastAsia" w:hAnsi="Cambria Math" w:cs="Times New Roman"/>
                <w:sz w:val="24"/>
                <w:szCs w:val="24"/>
                <w:lang w:val="en-GB"/>
              </w:rPr>
              <m:t>μ</m:t>
            </m:r>
          </m:den>
        </m:f>
        <m:r>
          <w:rPr>
            <w:rFonts w:ascii="Cambria Math" w:eastAsiaTheme="majorEastAsia" w:hAnsi="Cambria Math" w:cs="Times New Roman"/>
            <w:sz w:val="24"/>
            <w:szCs w:val="24"/>
            <w:lang w:val="en-GB"/>
          </w:rPr>
          <m:t>=</m:t>
        </m:r>
        <m:nary>
          <m:naryPr>
            <m:limLoc m:val="subSup"/>
            <m:ctrlPr>
              <w:rPr>
                <w:rFonts w:ascii="Cambria Math" w:eastAsiaTheme="majorEastAsia" w:hAnsi="Cambria Math" w:cs="Times New Roman"/>
                <w:i/>
                <w:sz w:val="24"/>
                <w:szCs w:val="24"/>
                <w:lang w:val="en-GB"/>
              </w:rPr>
            </m:ctrlPr>
          </m:naryPr>
          <m:sub>
            <m:r>
              <w:rPr>
                <w:rFonts w:ascii="Cambria Math" w:eastAsiaTheme="majorEastAsia" w:hAnsi="Cambria Math" w:cs="Times New Roman"/>
                <w:sz w:val="24"/>
                <w:szCs w:val="24"/>
                <w:lang w:val="en-GB"/>
              </w:rPr>
              <m:t>0</m:t>
            </m:r>
          </m:sub>
          <m:sup>
            <m:r>
              <w:rPr>
                <w:rFonts w:ascii="Cambria Math" w:eastAsiaTheme="majorEastAsia" w:hAnsi="Cambria Math" w:cs="Times New Roman"/>
                <w:sz w:val="24"/>
                <w:szCs w:val="24"/>
                <w:lang w:val="en-GB"/>
              </w:rPr>
              <m:t>1</m:t>
            </m:r>
          </m:sup>
          <m:e>
            <m:d>
              <m:dPr>
                <m:begChr m:val="["/>
                <m:endChr m:val="]"/>
                <m:ctrlPr>
                  <w:rPr>
                    <w:rFonts w:ascii="Cambria Math" w:eastAsiaTheme="majorEastAsia" w:hAnsi="Cambria Math" w:cs="Times New Roman"/>
                    <w:i/>
                    <w:sz w:val="24"/>
                    <w:szCs w:val="24"/>
                    <w:lang w:val="en-GB"/>
                  </w:rPr>
                </m:ctrlPr>
              </m:dPr>
              <m:e>
                <m:r>
                  <w:rPr>
                    <w:rFonts w:ascii="Cambria Math" w:eastAsiaTheme="majorEastAsia" w:hAnsi="Cambria Math" w:cs="Times New Roman"/>
                    <w:sz w:val="24"/>
                    <w:szCs w:val="24"/>
                    <w:lang w:val="en-GB"/>
                  </w:rPr>
                  <m:t>1-</m:t>
                </m:r>
                <m:r>
                  <w:rPr>
                    <w:rFonts w:ascii="Cambria Math" w:eastAsia="Calibri" w:hAnsi="Cambria Math" w:cs="Times New Roman"/>
                    <w:sz w:val="24"/>
                    <w:szCs w:val="24"/>
                    <w:lang w:val="en-GB"/>
                  </w:rPr>
                  <m:t>η</m:t>
                </m:r>
                <m:sSup>
                  <m:sSupPr>
                    <m:ctrlPr>
                      <w:rPr>
                        <w:rFonts w:ascii="Cambria Math" w:eastAsia="Calibri" w:hAnsi="Cambria Math" w:cs="Times New Roman"/>
                        <w:i/>
                        <w:sz w:val="24"/>
                        <w:szCs w:val="24"/>
                        <w:lang w:val="en-GB"/>
                      </w:rPr>
                    </m:ctrlPr>
                  </m:sSupPr>
                  <m:e>
                    <m:d>
                      <m:dPr>
                        <m:ctrlPr>
                          <w:rPr>
                            <w:rFonts w:ascii="Cambria Math" w:eastAsia="Calibri" w:hAnsi="Cambria Math" w:cs="Times New Roman"/>
                            <w:i/>
                            <w:sz w:val="24"/>
                            <w:szCs w:val="24"/>
                            <w:lang w:val="en-GB"/>
                          </w:rPr>
                        </m:ctrlPr>
                      </m:dPr>
                      <m:e>
                        <m:r>
                          <w:rPr>
                            <w:rFonts w:ascii="Cambria Math" w:eastAsia="Calibri" w:hAnsi="Cambria Math" w:cs="Times New Roman"/>
                            <w:sz w:val="24"/>
                            <w:szCs w:val="24"/>
                            <w:lang w:val="en-GB"/>
                          </w:rPr>
                          <m:t>1-p</m:t>
                        </m:r>
                      </m:e>
                    </m:d>
                  </m:e>
                  <m:sup>
                    <m:r>
                      <w:rPr>
                        <w:rFonts w:ascii="Cambria Math" w:eastAsia="Calibri" w:hAnsi="Cambria Math" w:cs="Times New Roman"/>
                        <w:sz w:val="24"/>
                        <w:szCs w:val="24"/>
                        <w:lang w:val="en-GB"/>
                      </w:rPr>
                      <m:t>η-1</m:t>
                    </m:r>
                  </m:sup>
                </m:sSup>
              </m:e>
            </m:d>
            <m:f>
              <m:fPr>
                <m:ctrlPr>
                  <w:rPr>
                    <w:rFonts w:ascii="Cambria Math" w:eastAsia="Calibri" w:hAnsi="Cambria Math" w:cs="Times New Roman"/>
                    <w:i/>
                    <w:sz w:val="24"/>
                    <w:szCs w:val="24"/>
                    <w:lang w:val="en-GB"/>
                  </w:rPr>
                </m:ctrlPr>
              </m:fPr>
              <m:num>
                <m:sSup>
                  <m:sSupPr>
                    <m:ctrlPr>
                      <w:rPr>
                        <w:rFonts w:ascii="Cambria Math" w:eastAsia="Calibri" w:hAnsi="Cambria Math" w:cs="Times New Roman"/>
                        <w:i/>
                        <w:sz w:val="24"/>
                        <w:szCs w:val="24"/>
                        <w:lang w:val="en-GB"/>
                      </w:rPr>
                    </m:ctrlPr>
                  </m:sSupPr>
                  <m:e>
                    <m:r>
                      <w:rPr>
                        <w:rFonts w:ascii="Cambria Math" w:eastAsia="Calibri" w:hAnsi="Cambria Math" w:cs="Times New Roman"/>
                        <w:sz w:val="24"/>
                        <w:szCs w:val="24"/>
                        <w:lang w:val="en-GB"/>
                      </w:rPr>
                      <m:t>F</m:t>
                    </m:r>
                  </m:e>
                  <m:sup>
                    <m:r>
                      <w:rPr>
                        <w:rFonts w:ascii="Cambria Math" w:eastAsia="Calibri" w:hAnsi="Cambria Math" w:cs="Times New Roman"/>
                        <w:sz w:val="24"/>
                        <w:szCs w:val="24"/>
                        <w:lang w:val="en-GB"/>
                      </w:rPr>
                      <m:t>-1</m:t>
                    </m:r>
                  </m:sup>
                </m:sSup>
                <m:d>
                  <m:dPr>
                    <m:ctrlPr>
                      <w:rPr>
                        <w:rFonts w:ascii="Cambria Math" w:eastAsia="Calibri" w:hAnsi="Cambria Math" w:cs="Times New Roman"/>
                        <w:i/>
                        <w:sz w:val="24"/>
                        <w:szCs w:val="24"/>
                        <w:lang w:val="en-GB"/>
                      </w:rPr>
                    </m:ctrlPr>
                  </m:dPr>
                  <m:e>
                    <m:r>
                      <w:rPr>
                        <w:rFonts w:ascii="Cambria Math" w:eastAsia="Calibri" w:hAnsi="Cambria Math" w:cs="Times New Roman"/>
                        <w:sz w:val="24"/>
                        <w:szCs w:val="24"/>
                        <w:lang w:val="en-GB"/>
                      </w:rPr>
                      <m:t>p</m:t>
                    </m:r>
                  </m:e>
                </m:d>
              </m:num>
              <m:den>
                <m:r>
                  <w:rPr>
                    <w:rFonts w:ascii="Cambria Math" w:eastAsia="Calibri" w:hAnsi="Cambria Math" w:cs="Times New Roman"/>
                    <w:sz w:val="24"/>
                    <w:szCs w:val="24"/>
                    <w:lang w:val="en-GB"/>
                  </w:rPr>
                  <m:t>μ</m:t>
                </m:r>
              </m:den>
            </m:f>
            <m:r>
              <w:rPr>
                <w:rFonts w:ascii="Cambria Math" w:eastAsia="Calibri" w:hAnsi="Cambria Math" w:cs="Times New Roman"/>
                <w:sz w:val="24"/>
                <w:szCs w:val="24"/>
                <w:lang w:val="en-GB"/>
              </w:rPr>
              <m:t>dp</m:t>
            </m:r>
          </m:e>
        </m:nary>
      </m:oMath>
      <w:r w:rsidRPr="006F076B">
        <w:rPr>
          <w:rFonts w:ascii="Times New Roman" w:eastAsiaTheme="majorEastAsia" w:hAnsi="Times New Roman" w:cs="Times New Roman"/>
          <w:i/>
          <w:sz w:val="24"/>
          <w:szCs w:val="24"/>
          <w:lang w:val="en-GB"/>
        </w:rPr>
        <w:t xml:space="preserve">. </w:t>
      </w:r>
      <w:proofErr w:type="spellStart"/>
      <w:r w:rsidR="00B3525B">
        <w:rPr>
          <w:rFonts w:ascii="Times New Roman" w:eastAsiaTheme="majorEastAsia" w:hAnsi="Times New Roman" w:cs="Times New Roman"/>
          <w:i/>
          <w:sz w:val="24"/>
          <w:szCs w:val="24"/>
          <w:lang w:val="en-GB"/>
        </w:rPr>
        <w:t>Erreygers</w:t>
      </w:r>
      <w:proofErr w:type="spellEnd"/>
      <w:r w:rsidR="00B3525B">
        <w:rPr>
          <w:rFonts w:ascii="Times New Roman" w:eastAsiaTheme="majorEastAsia" w:hAnsi="Times New Roman" w:cs="Times New Roman"/>
          <w:i/>
          <w:sz w:val="24"/>
          <w:szCs w:val="24"/>
          <w:lang w:val="en-GB"/>
        </w:rPr>
        <w:t xml:space="preserve"> et al. (2012) show that the weighting function </w:t>
      </w:r>
      <m:oMath>
        <m:r>
          <w:rPr>
            <w:rFonts w:ascii="Cambria Math" w:eastAsiaTheme="majorEastAsia" w:hAnsi="Cambria Math" w:cs="Times New Roman"/>
            <w:sz w:val="24"/>
            <w:szCs w:val="24"/>
            <w:lang w:val="en-GB"/>
          </w:rPr>
          <m:t>1-</m:t>
        </m:r>
        <m:r>
          <w:rPr>
            <w:rFonts w:ascii="Cambria Math" w:eastAsia="Calibri" w:hAnsi="Cambria Math" w:cs="Times New Roman"/>
            <w:sz w:val="24"/>
            <w:szCs w:val="24"/>
            <w:lang w:val="en-GB"/>
          </w:rPr>
          <m:t>η</m:t>
        </m:r>
        <m:sSup>
          <m:sSupPr>
            <m:ctrlPr>
              <w:rPr>
                <w:rFonts w:ascii="Cambria Math" w:eastAsia="Calibri" w:hAnsi="Cambria Math" w:cs="Times New Roman"/>
                <w:i/>
                <w:sz w:val="24"/>
                <w:szCs w:val="24"/>
                <w:lang w:val="en-GB"/>
              </w:rPr>
            </m:ctrlPr>
          </m:sSupPr>
          <m:e>
            <m:d>
              <m:dPr>
                <m:ctrlPr>
                  <w:rPr>
                    <w:rFonts w:ascii="Cambria Math" w:eastAsia="Calibri" w:hAnsi="Cambria Math" w:cs="Times New Roman"/>
                    <w:i/>
                    <w:sz w:val="24"/>
                    <w:szCs w:val="24"/>
                    <w:lang w:val="en-GB"/>
                  </w:rPr>
                </m:ctrlPr>
              </m:dPr>
              <m:e>
                <m:r>
                  <w:rPr>
                    <w:rFonts w:ascii="Cambria Math" w:eastAsia="Calibri" w:hAnsi="Cambria Math" w:cs="Times New Roman"/>
                    <w:sz w:val="24"/>
                    <w:szCs w:val="24"/>
                    <w:lang w:val="en-GB"/>
                  </w:rPr>
                  <m:t>1-p</m:t>
                </m:r>
              </m:e>
            </m:d>
          </m:e>
          <m:sup>
            <m:r>
              <w:rPr>
                <w:rFonts w:ascii="Cambria Math" w:eastAsia="Calibri" w:hAnsi="Cambria Math" w:cs="Times New Roman"/>
                <w:sz w:val="24"/>
                <w:szCs w:val="24"/>
                <w:lang w:val="en-GB"/>
              </w:rPr>
              <m:t>η-1</m:t>
            </m:r>
          </m:sup>
        </m:sSup>
      </m:oMath>
      <w:r w:rsidR="00B3525B">
        <w:rPr>
          <w:rFonts w:ascii="Times New Roman" w:eastAsiaTheme="majorEastAsia" w:hAnsi="Times New Roman" w:cs="Times New Roman"/>
          <w:i/>
          <w:sz w:val="24"/>
          <w:szCs w:val="24"/>
          <w:lang w:val="en-GB"/>
        </w:rPr>
        <w:t xml:space="preserve"> </w:t>
      </w:r>
      <w:r w:rsidRPr="006F076B">
        <w:rPr>
          <w:rFonts w:ascii="Times New Roman" w:eastAsiaTheme="majorEastAsia" w:hAnsi="Times New Roman" w:cs="Times New Roman"/>
          <w:i/>
          <w:sz w:val="24"/>
          <w:szCs w:val="24"/>
          <w:lang w:val="en-GB"/>
        </w:rPr>
        <w:t>suffer</w:t>
      </w:r>
      <w:r w:rsidR="00B3525B">
        <w:rPr>
          <w:rFonts w:ascii="Times New Roman" w:eastAsiaTheme="majorEastAsia" w:hAnsi="Times New Roman" w:cs="Times New Roman"/>
          <w:i/>
          <w:sz w:val="24"/>
          <w:szCs w:val="24"/>
          <w:lang w:val="en-GB"/>
        </w:rPr>
        <w:t>s</w:t>
      </w:r>
      <w:r w:rsidRPr="006F076B">
        <w:rPr>
          <w:rFonts w:ascii="Times New Roman" w:eastAsiaTheme="majorEastAsia" w:hAnsi="Times New Roman" w:cs="Times New Roman"/>
          <w:i/>
          <w:sz w:val="24"/>
          <w:szCs w:val="24"/>
          <w:lang w:val="en-GB"/>
        </w:rPr>
        <w:t xml:space="preserve"> from a grouping bias</w:t>
      </w:r>
      <w:r w:rsidR="00B3525B">
        <w:rPr>
          <w:rFonts w:ascii="Times New Roman" w:eastAsiaTheme="majorEastAsia" w:hAnsi="Times New Roman" w:cs="Times New Roman"/>
          <w:i/>
          <w:sz w:val="24"/>
          <w:szCs w:val="24"/>
          <w:lang w:val="en-GB"/>
        </w:rPr>
        <w:t xml:space="preserve"> when working with aggregate data</w:t>
      </w:r>
      <w:r w:rsidRPr="006F076B">
        <w:rPr>
          <w:rFonts w:ascii="Times New Roman" w:eastAsiaTheme="majorEastAsia" w:hAnsi="Times New Roman" w:cs="Times New Roman"/>
          <w:i/>
          <w:sz w:val="24"/>
          <w:szCs w:val="24"/>
          <w:lang w:val="en-GB"/>
        </w:rPr>
        <w:t>. Th</w:t>
      </w:r>
      <w:r w:rsidR="00366A0D">
        <w:rPr>
          <w:rFonts w:ascii="Times New Roman" w:eastAsiaTheme="majorEastAsia" w:hAnsi="Times New Roman" w:cs="Times New Roman"/>
          <w:i/>
          <w:sz w:val="24"/>
          <w:szCs w:val="24"/>
          <w:lang w:val="en-GB"/>
        </w:rPr>
        <w:t>is</w:t>
      </w:r>
      <w:r w:rsidRPr="006F076B">
        <w:rPr>
          <w:rFonts w:ascii="Times New Roman" w:eastAsiaTheme="majorEastAsia" w:hAnsi="Times New Roman" w:cs="Times New Roman"/>
          <w:i/>
          <w:sz w:val="24"/>
          <w:szCs w:val="24"/>
          <w:lang w:val="en-GB"/>
        </w:rPr>
        <w:t xml:space="preserve"> exercise implements the estimator </w:t>
      </w:r>
      <w:r w:rsidR="00366A0D">
        <w:rPr>
          <w:rFonts w:ascii="Times New Roman" w:eastAsiaTheme="majorEastAsia" w:hAnsi="Times New Roman" w:cs="Times New Roman"/>
          <w:i/>
          <w:sz w:val="24"/>
          <w:szCs w:val="24"/>
          <w:lang w:val="en-GB"/>
        </w:rPr>
        <w:t>derived by</w:t>
      </w:r>
      <w:r w:rsidRPr="006F076B">
        <w:rPr>
          <w:rFonts w:ascii="Times New Roman" w:eastAsiaTheme="majorEastAsia" w:hAnsi="Times New Roman" w:cs="Times New Roman"/>
          <w:i/>
          <w:sz w:val="24"/>
          <w:szCs w:val="24"/>
          <w:lang w:val="en-GB"/>
        </w:rPr>
        <w:t xml:space="preserve"> </w:t>
      </w:r>
      <w:proofErr w:type="spellStart"/>
      <w:r w:rsidRPr="006F076B">
        <w:rPr>
          <w:rFonts w:ascii="Times New Roman" w:eastAsiaTheme="majorEastAsia" w:hAnsi="Times New Roman" w:cs="Times New Roman"/>
          <w:i/>
          <w:sz w:val="24"/>
          <w:szCs w:val="24"/>
          <w:lang w:val="en-GB"/>
        </w:rPr>
        <w:lastRenderedPageBreak/>
        <w:t>Erreygers</w:t>
      </w:r>
      <w:proofErr w:type="spellEnd"/>
      <w:r w:rsidRPr="006F076B">
        <w:rPr>
          <w:rFonts w:ascii="Times New Roman" w:eastAsiaTheme="majorEastAsia" w:hAnsi="Times New Roman" w:cs="Times New Roman"/>
          <w:i/>
          <w:sz w:val="24"/>
          <w:szCs w:val="24"/>
          <w:lang w:val="en-GB"/>
        </w:rPr>
        <w:t xml:space="preserve"> et al. (2012)</w:t>
      </w:r>
      <w:r w:rsidR="00366A0D">
        <w:rPr>
          <w:rFonts w:ascii="Times New Roman" w:eastAsiaTheme="majorEastAsia" w:hAnsi="Times New Roman" w:cs="Times New Roman"/>
          <w:i/>
          <w:sz w:val="24"/>
          <w:szCs w:val="24"/>
          <w:lang w:val="en-GB"/>
        </w:rPr>
        <w:t xml:space="preserve"> </w:t>
      </w:r>
      <m:oMath>
        <m:f>
          <m:fPr>
            <m:ctrlPr>
              <w:rPr>
                <w:rFonts w:ascii="Cambria Math" w:eastAsiaTheme="majorEastAsia" w:hAnsi="Cambria Math" w:cs="Times New Roman"/>
                <w:i/>
                <w:sz w:val="24"/>
                <w:szCs w:val="24"/>
                <w:lang w:val="en-GB"/>
              </w:rPr>
            </m:ctrlPr>
          </m:fPr>
          <m:num>
            <m:sSub>
              <m:sSubPr>
                <m:ctrlPr>
                  <w:rPr>
                    <w:rFonts w:ascii="Cambria Math" w:eastAsiaTheme="majorEastAsia" w:hAnsi="Cambria Math" w:cs="Times New Roman"/>
                    <w:i/>
                    <w:sz w:val="24"/>
                    <w:szCs w:val="24"/>
                    <w:lang w:val="en-GB"/>
                  </w:rPr>
                </m:ctrlPr>
              </m:sSubPr>
              <m:e>
                <m:r>
                  <w:rPr>
                    <w:rFonts w:ascii="Cambria Math" w:eastAsiaTheme="majorEastAsia" w:hAnsi="Cambria Math" w:cs="Times New Roman"/>
                    <w:sz w:val="24"/>
                    <w:szCs w:val="24"/>
                    <w:lang w:val="en-GB"/>
                  </w:rPr>
                  <m:t>n</m:t>
                </m:r>
              </m:e>
              <m:sub>
                <m:r>
                  <w:rPr>
                    <w:rFonts w:ascii="Cambria Math" w:eastAsiaTheme="majorEastAsia" w:hAnsi="Cambria Math" w:cs="Times New Roman"/>
                    <w:sz w:val="24"/>
                    <w:szCs w:val="24"/>
                    <w:lang w:val="en-GB"/>
                  </w:rPr>
                  <m:t>j</m:t>
                </m:r>
              </m:sub>
            </m:sSub>
          </m:num>
          <m:den>
            <m:r>
              <w:rPr>
                <w:rFonts w:ascii="Cambria Math" w:eastAsiaTheme="majorEastAsia" w:hAnsi="Cambria Math" w:cs="Times New Roman"/>
                <w:sz w:val="24"/>
                <w:szCs w:val="24"/>
                <w:lang w:val="en-GB"/>
              </w:rPr>
              <m:t>n</m:t>
            </m:r>
          </m:den>
        </m:f>
        <m:r>
          <w:rPr>
            <w:rFonts w:ascii="Cambria Math" w:eastAsiaTheme="majorEastAsia" w:hAnsi="Cambria Math" w:cs="Times New Roman"/>
            <w:sz w:val="24"/>
            <w:szCs w:val="24"/>
            <w:lang w:val="en-GB"/>
          </w:rPr>
          <m:t>-</m:t>
        </m:r>
        <m:d>
          <m:dPr>
            <m:begChr m:val="["/>
            <m:endChr m:val="]"/>
            <m:ctrlPr>
              <w:rPr>
                <w:rFonts w:ascii="Cambria Math" w:eastAsia="Calibri" w:hAnsi="Cambria Math" w:cs="Times New Roman"/>
                <w:i/>
                <w:sz w:val="24"/>
                <w:szCs w:val="24"/>
                <w:lang w:val="en-GB"/>
              </w:rPr>
            </m:ctrlPr>
          </m:dPr>
          <m:e>
            <m:sSup>
              <m:sSupPr>
                <m:ctrlPr>
                  <w:rPr>
                    <w:rFonts w:ascii="Cambria Math" w:eastAsia="Calibri" w:hAnsi="Cambria Math" w:cs="Times New Roman"/>
                    <w:i/>
                    <w:sz w:val="24"/>
                    <w:szCs w:val="24"/>
                    <w:lang w:val="en-GB"/>
                  </w:rPr>
                </m:ctrlPr>
              </m:sSupPr>
              <m:e>
                <m:d>
                  <m:dPr>
                    <m:ctrlPr>
                      <w:rPr>
                        <w:rFonts w:ascii="Cambria Math" w:eastAsia="Calibri" w:hAnsi="Cambria Math" w:cs="Times New Roman"/>
                        <w:i/>
                        <w:sz w:val="24"/>
                        <w:szCs w:val="24"/>
                        <w:lang w:val="en-GB"/>
                      </w:rPr>
                    </m:ctrlPr>
                  </m:dPr>
                  <m:e>
                    <m:r>
                      <w:rPr>
                        <w:rFonts w:ascii="Cambria Math" w:eastAsia="Calibri" w:hAnsi="Cambria Math" w:cs="Times New Roman"/>
                        <w:sz w:val="24"/>
                        <w:szCs w:val="24"/>
                        <w:lang w:val="en-GB"/>
                      </w:rPr>
                      <m:t>1-</m:t>
                    </m:r>
                    <m:f>
                      <m:fPr>
                        <m:ctrlPr>
                          <w:rPr>
                            <w:rFonts w:ascii="Cambria Math" w:eastAsia="Calibri" w:hAnsi="Cambria Math" w:cs="Times New Roman"/>
                            <w:i/>
                            <w:sz w:val="24"/>
                            <w:szCs w:val="24"/>
                            <w:lang w:val="en-GB"/>
                          </w:rPr>
                        </m:ctrlPr>
                      </m:fPr>
                      <m:num>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I</m:t>
                            </m:r>
                          </m:e>
                          <m:sub>
                            <m:r>
                              <w:rPr>
                                <w:rFonts w:ascii="Cambria Math" w:eastAsia="Calibri" w:hAnsi="Cambria Math" w:cs="Times New Roman"/>
                                <w:sz w:val="24"/>
                                <w:szCs w:val="24"/>
                                <w:lang w:val="en-GB"/>
                              </w:rPr>
                              <m:t>j-1</m:t>
                            </m:r>
                          </m:sub>
                        </m:sSub>
                      </m:num>
                      <m:den>
                        <m:r>
                          <w:rPr>
                            <w:rFonts w:ascii="Cambria Math" w:eastAsia="Calibri" w:hAnsi="Cambria Math" w:cs="Times New Roman"/>
                            <w:sz w:val="24"/>
                            <w:szCs w:val="24"/>
                            <w:lang w:val="en-GB"/>
                          </w:rPr>
                          <m:t>n</m:t>
                        </m:r>
                      </m:den>
                    </m:f>
                  </m:e>
                </m:d>
              </m:e>
              <m:sup>
                <m:r>
                  <w:rPr>
                    <w:rFonts w:ascii="Cambria Math" w:eastAsia="Calibri" w:hAnsi="Cambria Math" w:cs="Times New Roman"/>
                    <w:sz w:val="24"/>
                    <w:szCs w:val="24"/>
                    <w:lang w:val="en-GB"/>
                  </w:rPr>
                  <m:t>η</m:t>
                </m:r>
              </m:sup>
            </m:sSup>
            <m:r>
              <w:rPr>
                <w:rFonts w:ascii="Cambria Math" w:eastAsia="Calibri" w:hAnsi="Cambria Math" w:cs="Times New Roman"/>
                <w:sz w:val="24"/>
                <w:szCs w:val="24"/>
                <w:lang w:val="en-GB"/>
              </w:rPr>
              <m:t>-</m:t>
            </m:r>
            <m:sSup>
              <m:sSupPr>
                <m:ctrlPr>
                  <w:rPr>
                    <w:rFonts w:ascii="Cambria Math" w:eastAsia="Calibri" w:hAnsi="Cambria Math" w:cs="Times New Roman"/>
                    <w:i/>
                    <w:sz w:val="24"/>
                    <w:szCs w:val="24"/>
                    <w:lang w:val="en-GB"/>
                  </w:rPr>
                </m:ctrlPr>
              </m:sSupPr>
              <m:e>
                <m:d>
                  <m:dPr>
                    <m:ctrlPr>
                      <w:rPr>
                        <w:rFonts w:ascii="Cambria Math" w:eastAsia="Calibri" w:hAnsi="Cambria Math" w:cs="Times New Roman"/>
                        <w:i/>
                        <w:sz w:val="24"/>
                        <w:szCs w:val="24"/>
                        <w:lang w:val="en-GB"/>
                      </w:rPr>
                    </m:ctrlPr>
                  </m:dPr>
                  <m:e>
                    <m:r>
                      <w:rPr>
                        <w:rFonts w:ascii="Cambria Math" w:eastAsia="Calibri" w:hAnsi="Cambria Math" w:cs="Times New Roman"/>
                        <w:sz w:val="24"/>
                        <w:szCs w:val="24"/>
                        <w:lang w:val="en-GB"/>
                      </w:rPr>
                      <m:t>1-</m:t>
                    </m:r>
                    <m:f>
                      <m:fPr>
                        <m:ctrlPr>
                          <w:rPr>
                            <w:rFonts w:ascii="Cambria Math" w:eastAsia="Calibri" w:hAnsi="Cambria Math" w:cs="Times New Roman"/>
                            <w:i/>
                            <w:sz w:val="24"/>
                            <w:szCs w:val="24"/>
                            <w:lang w:val="en-GB"/>
                          </w:rPr>
                        </m:ctrlPr>
                      </m:fPr>
                      <m:num>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I</m:t>
                            </m:r>
                          </m:e>
                          <m:sub>
                            <m:r>
                              <w:rPr>
                                <w:rFonts w:ascii="Cambria Math" w:eastAsia="Calibri" w:hAnsi="Cambria Math" w:cs="Times New Roman"/>
                                <w:sz w:val="24"/>
                                <w:szCs w:val="24"/>
                                <w:lang w:val="en-GB"/>
                              </w:rPr>
                              <m:t>j</m:t>
                            </m:r>
                          </m:sub>
                        </m:sSub>
                      </m:num>
                      <m:den>
                        <m:r>
                          <w:rPr>
                            <w:rFonts w:ascii="Cambria Math" w:eastAsia="Calibri" w:hAnsi="Cambria Math" w:cs="Times New Roman"/>
                            <w:sz w:val="24"/>
                            <w:szCs w:val="24"/>
                            <w:lang w:val="en-GB"/>
                          </w:rPr>
                          <m:t>n</m:t>
                        </m:r>
                      </m:den>
                    </m:f>
                  </m:e>
                </m:d>
              </m:e>
              <m:sup>
                <m:r>
                  <w:rPr>
                    <w:rFonts w:ascii="Cambria Math" w:eastAsia="Calibri" w:hAnsi="Cambria Math" w:cs="Times New Roman"/>
                    <w:sz w:val="24"/>
                    <w:szCs w:val="24"/>
                    <w:lang w:val="en-GB"/>
                  </w:rPr>
                  <m:t>η</m:t>
                </m:r>
              </m:sup>
            </m:sSup>
          </m:e>
        </m:d>
      </m:oMath>
      <w:r w:rsidR="00366A0D">
        <w:rPr>
          <w:rFonts w:ascii="Times New Roman" w:eastAsiaTheme="majorEastAsia" w:hAnsi="Times New Roman" w:cs="Times New Roman"/>
          <w:i/>
          <w:sz w:val="24"/>
          <w:szCs w:val="24"/>
          <w:lang w:val="en-GB"/>
        </w:rPr>
        <w:t xml:space="preserve"> where </w:t>
      </w:r>
      <m:oMath>
        <m:r>
          <w:rPr>
            <w:rFonts w:ascii="Cambria Math" w:eastAsiaTheme="majorEastAsia" w:hAnsi="Cambria Math" w:cs="Times New Roman"/>
            <w:sz w:val="24"/>
            <w:szCs w:val="24"/>
            <w:lang w:val="en-GB"/>
          </w:rPr>
          <m:t>j=1,…,J</m:t>
        </m:r>
      </m:oMath>
      <w:r w:rsidR="00F63CFA">
        <w:rPr>
          <w:rFonts w:ascii="Times New Roman" w:eastAsiaTheme="majorEastAsia" w:hAnsi="Times New Roman" w:cs="Times New Roman"/>
          <w:i/>
          <w:sz w:val="24"/>
          <w:szCs w:val="24"/>
          <w:lang w:val="en-GB"/>
        </w:rPr>
        <w:t xml:space="preserve"> </w:t>
      </w:r>
      <w:r w:rsidR="00031EAF">
        <w:rPr>
          <w:rFonts w:ascii="Times New Roman" w:eastAsiaTheme="majorEastAsia" w:hAnsi="Times New Roman" w:cs="Times New Roman"/>
          <w:i/>
          <w:sz w:val="24"/>
          <w:szCs w:val="24"/>
          <w:lang w:val="en-GB"/>
        </w:rPr>
        <w:t>stands for group j and where groups are</w:t>
      </w:r>
      <w:r w:rsidR="00F63CFA">
        <w:rPr>
          <w:rFonts w:ascii="Times New Roman" w:eastAsiaTheme="majorEastAsia" w:hAnsi="Times New Roman" w:cs="Times New Roman"/>
          <w:i/>
          <w:sz w:val="24"/>
          <w:szCs w:val="24"/>
          <w:lang w:val="en-GB"/>
        </w:rPr>
        <w:t xml:space="preserve"> ranked by average HALE, </w:t>
      </w:r>
      <m:oMath>
        <m:sSub>
          <m:sSubPr>
            <m:ctrlPr>
              <w:rPr>
                <w:rFonts w:ascii="Cambria Math" w:eastAsiaTheme="majorEastAsia" w:hAnsi="Cambria Math" w:cs="Times New Roman"/>
                <w:i/>
                <w:sz w:val="24"/>
                <w:szCs w:val="24"/>
                <w:lang w:val="en-GB"/>
              </w:rPr>
            </m:ctrlPr>
          </m:sSubPr>
          <m:e>
            <m:r>
              <w:rPr>
                <w:rFonts w:ascii="Cambria Math" w:eastAsiaTheme="majorEastAsia" w:hAnsi="Cambria Math" w:cs="Times New Roman"/>
                <w:sz w:val="24"/>
                <w:szCs w:val="24"/>
                <w:lang w:val="en-GB"/>
              </w:rPr>
              <m:t>n</m:t>
            </m:r>
          </m:e>
          <m:sub>
            <m:r>
              <w:rPr>
                <w:rFonts w:ascii="Cambria Math" w:eastAsiaTheme="majorEastAsia" w:hAnsi="Cambria Math" w:cs="Times New Roman"/>
                <w:sz w:val="24"/>
                <w:szCs w:val="24"/>
                <w:lang w:val="en-GB"/>
              </w:rPr>
              <m:t>j</m:t>
            </m:r>
          </m:sub>
        </m:sSub>
      </m:oMath>
      <w:r w:rsidR="00F63CFA">
        <w:rPr>
          <w:rFonts w:ascii="Times New Roman" w:eastAsiaTheme="majorEastAsia" w:hAnsi="Times New Roman" w:cs="Times New Roman"/>
          <w:i/>
          <w:sz w:val="24"/>
          <w:szCs w:val="24"/>
          <w:lang w:val="en-GB"/>
        </w:rPr>
        <w:t xml:space="preserve"> denotes the number of individuals in group j; and </w:t>
      </w:r>
      <m:oMath>
        <m:sSub>
          <m:sSubPr>
            <m:ctrlPr>
              <w:rPr>
                <w:rFonts w:ascii="Cambria Math" w:eastAsiaTheme="majorEastAsia" w:hAnsi="Cambria Math" w:cs="Times New Roman"/>
                <w:i/>
                <w:sz w:val="24"/>
                <w:szCs w:val="24"/>
                <w:lang w:val="en-GB"/>
              </w:rPr>
            </m:ctrlPr>
          </m:sSubPr>
          <m:e>
            <m:r>
              <w:rPr>
                <w:rFonts w:ascii="Cambria Math" w:eastAsiaTheme="majorEastAsia" w:hAnsi="Cambria Math" w:cs="Times New Roman"/>
                <w:sz w:val="24"/>
                <w:szCs w:val="24"/>
                <w:lang w:val="en-GB"/>
              </w:rPr>
              <m:t>I</m:t>
            </m:r>
          </m:e>
          <m:sub>
            <m:r>
              <w:rPr>
                <w:rFonts w:ascii="Cambria Math" w:eastAsiaTheme="majorEastAsia" w:hAnsi="Cambria Math" w:cs="Times New Roman"/>
                <w:sz w:val="24"/>
                <w:szCs w:val="24"/>
                <w:lang w:val="en-GB"/>
              </w:rPr>
              <m:t>j</m:t>
            </m:r>
          </m:sub>
        </m:sSub>
      </m:oMath>
      <w:r w:rsidR="00F63CFA">
        <w:rPr>
          <w:rFonts w:ascii="Times New Roman" w:eastAsiaTheme="majorEastAsia" w:hAnsi="Times New Roman" w:cs="Times New Roman"/>
          <w:i/>
          <w:sz w:val="24"/>
          <w:szCs w:val="24"/>
          <w:lang w:val="en-GB"/>
        </w:rPr>
        <w:t xml:space="preserve"> the cumulative number of individuals in all groups up to group j</w:t>
      </w:r>
      <w:r w:rsidRPr="006F076B">
        <w:rPr>
          <w:rFonts w:ascii="Times New Roman" w:eastAsiaTheme="majorEastAsia" w:hAnsi="Times New Roman" w:cs="Times New Roman"/>
          <w:i/>
          <w:sz w:val="24"/>
          <w:szCs w:val="24"/>
          <w:lang w:val="en-GB"/>
        </w:rPr>
        <w:t>.</w:t>
      </w:r>
    </w:p>
    <w:p w14:paraId="46151F2B" w14:textId="008F58F6" w:rsidR="006F076B" w:rsidRPr="006F076B" w:rsidRDefault="00ED5F22" w:rsidP="001C011D">
      <w:pPr>
        <w:spacing w:line="360" w:lineRule="auto"/>
        <w:ind w:left="720" w:hanging="720"/>
        <w:jc w:val="both"/>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i</w:t>
      </w:r>
      <w:r w:rsidR="00C40BB5">
        <w:rPr>
          <w:rFonts w:ascii="Times New Roman" w:eastAsiaTheme="majorEastAsia" w:hAnsi="Times New Roman" w:cs="Times New Roman"/>
          <w:sz w:val="24"/>
          <w:szCs w:val="24"/>
          <w:lang w:val="en-GB"/>
        </w:rPr>
        <w:t>ii</w:t>
      </w:r>
      <w:r w:rsidR="006F076B">
        <w:rPr>
          <w:rFonts w:ascii="Times New Roman" w:eastAsiaTheme="majorEastAsia" w:hAnsi="Times New Roman" w:cs="Times New Roman"/>
          <w:sz w:val="24"/>
          <w:szCs w:val="24"/>
          <w:lang w:val="en-GB"/>
        </w:rPr>
        <w:t>.</w:t>
      </w:r>
      <w:r w:rsidR="006F076B">
        <w:rPr>
          <w:rFonts w:ascii="Times New Roman" w:eastAsiaTheme="majorEastAsia" w:hAnsi="Times New Roman" w:cs="Times New Roman"/>
          <w:sz w:val="24"/>
          <w:szCs w:val="24"/>
          <w:lang w:val="en-GB"/>
        </w:rPr>
        <w:tab/>
      </w:r>
      <w:r w:rsidR="00BE30DE" w:rsidRPr="00BE30DE">
        <w:rPr>
          <w:rFonts w:ascii="Times New Roman" w:eastAsiaTheme="majorEastAsia" w:hAnsi="Times New Roman" w:cs="Times New Roman"/>
          <w:sz w:val="24"/>
          <w:szCs w:val="24"/>
          <w:lang w:val="en-GB"/>
        </w:rPr>
        <w:t>In Table 3, calculate the generalized extended Gini index</w:t>
      </w:r>
      <w:r w:rsidR="00B92B7C">
        <w:rPr>
          <w:rFonts w:ascii="Times New Roman" w:eastAsiaTheme="majorEastAsia" w:hAnsi="Times New Roman" w:cs="Times New Roman"/>
          <w:sz w:val="24"/>
          <w:szCs w:val="24"/>
          <w:lang w:val="en-GB"/>
        </w:rPr>
        <w:t xml:space="preserve"> of absolute inequality</w:t>
      </w:r>
      <w:r w:rsidR="00BE30DE" w:rsidRPr="00BE30DE">
        <w:rPr>
          <w:rFonts w:ascii="Times New Roman" w:eastAsiaTheme="majorEastAsia" w:hAnsi="Times New Roman" w:cs="Times New Roman"/>
          <w:sz w:val="24"/>
          <w:szCs w:val="24"/>
          <w:lang w:val="en-GB"/>
        </w:rPr>
        <w:t xml:space="preserve">, the extended Gini index </w:t>
      </w:r>
      <w:r w:rsidR="00B92B7C">
        <w:rPr>
          <w:rFonts w:ascii="Times New Roman" w:eastAsiaTheme="majorEastAsia" w:hAnsi="Times New Roman" w:cs="Times New Roman"/>
          <w:sz w:val="24"/>
          <w:szCs w:val="24"/>
          <w:lang w:val="en-GB"/>
        </w:rPr>
        <w:t xml:space="preserve">of relative inequality </w:t>
      </w:r>
      <w:r w:rsidR="00BE30DE" w:rsidRPr="00BE30DE">
        <w:rPr>
          <w:rFonts w:ascii="Times New Roman" w:eastAsiaTheme="majorEastAsia" w:hAnsi="Times New Roman" w:cs="Times New Roman"/>
          <w:sz w:val="24"/>
          <w:szCs w:val="24"/>
          <w:lang w:val="en-GB"/>
        </w:rPr>
        <w:t xml:space="preserve">and EDEH </w:t>
      </w:r>
      <w:r w:rsidR="00B92B7C">
        <w:rPr>
          <w:rFonts w:ascii="Times New Roman" w:eastAsiaTheme="majorEastAsia" w:hAnsi="Times New Roman" w:cs="Times New Roman"/>
          <w:sz w:val="24"/>
          <w:szCs w:val="24"/>
          <w:lang w:val="en-GB"/>
        </w:rPr>
        <w:t xml:space="preserve">welfare </w:t>
      </w:r>
      <w:r w:rsidR="00BE30DE" w:rsidRPr="00BE30DE">
        <w:rPr>
          <w:rFonts w:ascii="Times New Roman" w:eastAsiaTheme="majorEastAsia" w:hAnsi="Times New Roman" w:cs="Times New Roman"/>
          <w:sz w:val="24"/>
          <w:szCs w:val="24"/>
          <w:lang w:val="en-GB"/>
        </w:rPr>
        <w:t xml:space="preserve">for </w:t>
      </w:r>
      <m:oMath>
        <m:r>
          <w:rPr>
            <w:rFonts w:ascii="Cambria Math" w:eastAsiaTheme="majorEastAsia" w:hAnsi="Cambria Math" w:cs="Times New Roman"/>
            <w:sz w:val="24"/>
            <w:szCs w:val="24"/>
            <w:lang w:val="en-GB"/>
          </w:rPr>
          <m:t>η</m:t>
        </m:r>
      </m:oMath>
      <w:r w:rsidR="00BE30DE" w:rsidRPr="00BE30DE">
        <w:rPr>
          <w:rFonts w:ascii="Times New Roman" w:eastAsiaTheme="majorEastAsia" w:hAnsi="Times New Roman" w:cs="Times New Roman"/>
          <w:sz w:val="24"/>
          <w:szCs w:val="24"/>
          <w:lang w:val="en-GB"/>
        </w:rPr>
        <w:t xml:space="preserve"> equal to 1</w:t>
      </w:r>
      <w:r w:rsidR="00B92B7C">
        <w:rPr>
          <w:rFonts w:ascii="Times New Roman" w:eastAsiaTheme="majorEastAsia" w:hAnsi="Times New Roman" w:cs="Times New Roman"/>
          <w:sz w:val="24"/>
          <w:szCs w:val="24"/>
          <w:lang w:val="en-GB"/>
        </w:rPr>
        <w:t xml:space="preserve">, 2 and 3.  (Intermediate values for </w:t>
      </w:r>
      <w:r w:rsidR="00BE30DE" w:rsidRPr="00BE30DE">
        <w:rPr>
          <w:rFonts w:ascii="Times New Roman" w:eastAsiaTheme="majorEastAsia" w:hAnsi="Times New Roman" w:cs="Times New Roman"/>
          <w:sz w:val="24"/>
          <w:szCs w:val="24"/>
          <w:lang w:val="en-GB"/>
        </w:rPr>
        <w:t xml:space="preserve">1.2, 1.4, 1.6, 1.8, </w:t>
      </w:r>
      <w:r w:rsidR="00B92B7C">
        <w:rPr>
          <w:rFonts w:ascii="Times New Roman" w:eastAsiaTheme="majorEastAsia" w:hAnsi="Times New Roman" w:cs="Times New Roman"/>
          <w:sz w:val="24"/>
          <w:szCs w:val="24"/>
          <w:lang w:val="en-GB"/>
        </w:rPr>
        <w:t xml:space="preserve">and </w:t>
      </w:r>
      <w:r w:rsidR="00BE30DE" w:rsidRPr="00BE30DE">
        <w:rPr>
          <w:rFonts w:ascii="Times New Roman" w:eastAsiaTheme="majorEastAsia" w:hAnsi="Times New Roman" w:cs="Times New Roman"/>
          <w:sz w:val="24"/>
          <w:szCs w:val="24"/>
          <w:lang w:val="en-GB"/>
        </w:rPr>
        <w:t xml:space="preserve">2.5 </w:t>
      </w:r>
      <w:r w:rsidR="00B92B7C">
        <w:rPr>
          <w:rFonts w:ascii="Times New Roman" w:eastAsiaTheme="majorEastAsia" w:hAnsi="Times New Roman" w:cs="Times New Roman"/>
          <w:sz w:val="24"/>
          <w:szCs w:val="24"/>
          <w:lang w:val="en-GB"/>
        </w:rPr>
        <w:t>have already been completed for you)</w:t>
      </w:r>
      <w:r w:rsidR="00BE30DE" w:rsidRPr="00BE30DE">
        <w:rPr>
          <w:rFonts w:ascii="Times New Roman" w:eastAsiaTheme="majorEastAsia" w:hAnsi="Times New Roman" w:cs="Times New Roman"/>
          <w:sz w:val="24"/>
          <w:szCs w:val="24"/>
          <w:lang w:val="en-GB"/>
        </w:rPr>
        <w:t xml:space="preserve"> </w:t>
      </w:r>
      <w:r w:rsidR="00B92B7C">
        <w:rPr>
          <w:rFonts w:ascii="Times New Roman" w:eastAsiaTheme="majorEastAsia" w:hAnsi="Times New Roman" w:cs="Times New Roman"/>
          <w:sz w:val="24"/>
          <w:szCs w:val="24"/>
          <w:lang w:val="en-GB"/>
        </w:rPr>
        <w:t>To do this, fill in t</w:t>
      </w:r>
      <w:r w:rsidR="00BE30DE" w:rsidRPr="00BE30DE">
        <w:rPr>
          <w:rFonts w:ascii="Times New Roman" w:eastAsiaTheme="majorEastAsia" w:hAnsi="Times New Roman" w:cs="Times New Roman"/>
          <w:sz w:val="24"/>
          <w:szCs w:val="24"/>
          <w:lang w:val="en-GB"/>
        </w:rPr>
        <w:t xml:space="preserve">he value of </w:t>
      </w:r>
      <m:oMath>
        <m:r>
          <w:rPr>
            <w:rFonts w:ascii="Cambria Math" w:eastAsiaTheme="majorEastAsia" w:hAnsi="Cambria Math" w:cs="Times New Roman"/>
            <w:sz w:val="24"/>
            <w:szCs w:val="24"/>
            <w:lang w:val="en-GB"/>
          </w:rPr>
          <m:t>η</m:t>
        </m:r>
      </m:oMath>
      <w:r w:rsidR="00BE30DE" w:rsidRPr="00BE30DE">
        <w:rPr>
          <w:rFonts w:ascii="Times New Roman" w:eastAsiaTheme="majorEastAsia" w:hAnsi="Times New Roman" w:cs="Times New Roman"/>
          <w:sz w:val="24"/>
          <w:szCs w:val="24"/>
          <w:lang w:val="en-GB"/>
        </w:rPr>
        <w:t xml:space="preserve"> in the cell highlighted in red. </w:t>
      </w:r>
      <w:r w:rsidR="00B92B7C">
        <w:rPr>
          <w:rFonts w:ascii="Times New Roman" w:eastAsiaTheme="majorEastAsia" w:hAnsi="Times New Roman" w:cs="Times New Roman"/>
          <w:sz w:val="24"/>
          <w:szCs w:val="24"/>
          <w:lang w:val="en-GB"/>
        </w:rPr>
        <w:t>Then c</w:t>
      </w:r>
      <w:r w:rsidR="00BE30DE" w:rsidRPr="00BE30DE">
        <w:rPr>
          <w:rFonts w:ascii="Times New Roman" w:eastAsiaTheme="majorEastAsia" w:hAnsi="Times New Roman" w:cs="Times New Roman"/>
          <w:sz w:val="24"/>
          <w:szCs w:val="24"/>
          <w:lang w:val="en-GB"/>
        </w:rPr>
        <w:t xml:space="preserve">opy and paste the values into the line in Table 3 corresponding to your chosen value of </w:t>
      </w:r>
      <m:oMath>
        <m:r>
          <w:rPr>
            <w:rFonts w:ascii="Cambria Math" w:eastAsiaTheme="majorEastAsia" w:hAnsi="Cambria Math" w:cs="Times New Roman"/>
            <w:sz w:val="24"/>
            <w:szCs w:val="24"/>
            <w:lang w:val="en-GB"/>
          </w:rPr>
          <m:t>η</m:t>
        </m:r>
      </m:oMath>
      <w:r w:rsidR="00BE30DE" w:rsidRPr="00BE30DE">
        <w:rPr>
          <w:rFonts w:ascii="Times New Roman" w:eastAsiaTheme="majorEastAsia" w:hAnsi="Times New Roman" w:cs="Times New Roman"/>
          <w:sz w:val="24"/>
          <w:szCs w:val="24"/>
          <w:lang w:val="en-GB"/>
        </w:rPr>
        <w:t>.</w:t>
      </w:r>
    </w:p>
    <w:p w14:paraId="30A629C0" w14:textId="13B24B2B" w:rsidR="00454B8A" w:rsidRDefault="00DD0C8F" w:rsidP="002A35B1">
      <w:pPr>
        <w:spacing w:line="360" w:lineRule="auto"/>
        <w:ind w:left="720" w:hanging="720"/>
        <w:jc w:val="both"/>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vi.</w:t>
      </w:r>
      <w:r>
        <w:rPr>
          <w:rFonts w:ascii="Times New Roman" w:eastAsiaTheme="majorEastAsia" w:hAnsi="Times New Roman" w:cs="Times New Roman"/>
          <w:sz w:val="24"/>
          <w:szCs w:val="24"/>
          <w:lang w:val="en-GB"/>
        </w:rPr>
        <w:tab/>
      </w:r>
      <w:r w:rsidR="0037275B">
        <w:rPr>
          <w:rFonts w:ascii="Times New Roman" w:eastAsiaTheme="majorEastAsia" w:hAnsi="Times New Roman" w:cs="Times New Roman"/>
          <w:sz w:val="24"/>
          <w:szCs w:val="24"/>
          <w:lang w:val="en-GB"/>
        </w:rPr>
        <w:t xml:space="preserve">You should find that </w:t>
      </w:r>
      <w:r w:rsidR="0037275B" w:rsidRPr="0037275B">
        <w:rPr>
          <w:rFonts w:ascii="Times New Roman" w:eastAsiaTheme="majorEastAsia" w:hAnsi="Times New Roman" w:cs="Times New Roman"/>
          <w:sz w:val="24"/>
          <w:szCs w:val="24"/>
          <w:lang w:val="en-GB"/>
        </w:rPr>
        <w:t xml:space="preserve">EDEH (=welfare) is highest </w:t>
      </w:r>
      <w:r w:rsidR="00781B89">
        <w:rPr>
          <w:rFonts w:ascii="Times New Roman" w:eastAsiaTheme="majorEastAsia" w:hAnsi="Times New Roman" w:cs="Times New Roman"/>
          <w:sz w:val="24"/>
          <w:szCs w:val="24"/>
          <w:lang w:val="en-GB"/>
        </w:rPr>
        <w:t xml:space="preserve">under </w:t>
      </w:r>
      <w:r w:rsidR="00B92B7C">
        <w:rPr>
          <w:rFonts w:ascii="Times New Roman" w:eastAsiaTheme="majorEastAsia" w:hAnsi="Times New Roman" w:cs="Times New Roman"/>
          <w:sz w:val="24"/>
          <w:szCs w:val="24"/>
          <w:lang w:val="en-GB"/>
        </w:rPr>
        <w:t xml:space="preserve">HALE </w:t>
      </w:r>
      <w:r w:rsidR="0037275B" w:rsidRPr="0037275B">
        <w:rPr>
          <w:rFonts w:ascii="Times New Roman" w:eastAsiaTheme="majorEastAsia" w:hAnsi="Times New Roman" w:cs="Times New Roman"/>
          <w:sz w:val="24"/>
          <w:szCs w:val="24"/>
          <w:lang w:val="en-GB"/>
        </w:rPr>
        <w:t xml:space="preserve">3 and lowest </w:t>
      </w:r>
      <w:r w:rsidR="00781B89">
        <w:rPr>
          <w:rFonts w:ascii="Times New Roman" w:eastAsiaTheme="majorEastAsia" w:hAnsi="Times New Roman" w:cs="Times New Roman"/>
          <w:sz w:val="24"/>
          <w:szCs w:val="24"/>
          <w:lang w:val="en-GB"/>
        </w:rPr>
        <w:t xml:space="preserve">under </w:t>
      </w:r>
      <w:r w:rsidR="00B92B7C">
        <w:rPr>
          <w:rFonts w:ascii="Times New Roman" w:eastAsiaTheme="majorEastAsia" w:hAnsi="Times New Roman" w:cs="Times New Roman"/>
          <w:sz w:val="24"/>
          <w:szCs w:val="24"/>
          <w:lang w:val="en-GB"/>
        </w:rPr>
        <w:t xml:space="preserve">HALE </w:t>
      </w:r>
      <w:r w:rsidR="0037275B" w:rsidRPr="0037275B">
        <w:rPr>
          <w:rFonts w:ascii="Times New Roman" w:eastAsiaTheme="majorEastAsia" w:hAnsi="Times New Roman" w:cs="Times New Roman"/>
          <w:sz w:val="24"/>
          <w:szCs w:val="24"/>
          <w:lang w:val="en-GB"/>
        </w:rPr>
        <w:t>1</w:t>
      </w:r>
      <w:r w:rsidR="0037275B">
        <w:rPr>
          <w:rFonts w:ascii="Times New Roman" w:eastAsiaTheme="majorEastAsia" w:hAnsi="Times New Roman" w:cs="Times New Roman"/>
          <w:sz w:val="24"/>
          <w:szCs w:val="24"/>
          <w:lang w:val="en-GB"/>
        </w:rPr>
        <w:t>. A</w:t>
      </w:r>
      <w:r w:rsidR="0037275B" w:rsidRPr="0037275B">
        <w:rPr>
          <w:rFonts w:ascii="Times New Roman" w:eastAsiaTheme="majorEastAsia" w:hAnsi="Times New Roman" w:cs="Times New Roman"/>
          <w:sz w:val="24"/>
          <w:szCs w:val="24"/>
          <w:lang w:val="en-GB"/>
        </w:rPr>
        <w:t xml:space="preserve">bsolute and relative inequalities are lowest </w:t>
      </w:r>
      <w:r w:rsidR="00781B89">
        <w:rPr>
          <w:rFonts w:ascii="Times New Roman" w:eastAsiaTheme="majorEastAsia" w:hAnsi="Times New Roman" w:cs="Times New Roman"/>
          <w:sz w:val="24"/>
          <w:szCs w:val="24"/>
          <w:lang w:val="en-GB"/>
        </w:rPr>
        <w:t xml:space="preserve">under </w:t>
      </w:r>
      <w:r w:rsidR="00B92B7C">
        <w:rPr>
          <w:rFonts w:ascii="Times New Roman" w:eastAsiaTheme="majorEastAsia" w:hAnsi="Times New Roman" w:cs="Times New Roman"/>
          <w:sz w:val="24"/>
          <w:szCs w:val="24"/>
          <w:lang w:val="en-GB"/>
        </w:rPr>
        <w:t>HALE</w:t>
      </w:r>
      <w:r w:rsidR="00781B89">
        <w:rPr>
          <w:rFonts w:ascii="Times New Roman" w:eastAsiaTheme="majorEastAsia" w:hAnsi="Times New Roman" w:cs="Times New Roman"/>
          <w:sz w:val="24"/>
          <w:szCs w:val="24"/>
          <w:lang w:val="en-GB"/>
        </w:rPr>
        <w:t xml:space="preserve"> </w:t>
      </w:r>
      <w:r w:rsidR="0037275B" w:rsidRPr="0037275B">
        <w:rPr>
          <w:rFonts w:ascii="Times New Roman" w:eastAsiaTheme="majorEastAsia" w:hAnsi="Times New Roman" w:cs="Times New Roman"/>
          <w:sz w:val="24"/>
          <w:szCs w:val="24"/>
          <w:lang w:val="en-GB"/>
        </w:rPr>
        <w:t xml:space="preserve">3 and highest </w:t>
      </w:r>
      <w:r w:rsidR="00781B89">
        <w:rPr>
          <w:rFonts w:ascii="Times New Roman" w:eastAsiaTheme="majorEastAsia" w:hAnsi="Times New Roman" w:cs="Times New Roman"/>
          <w:sz w:val="24"/>
          <w:szCs w:val="24"/>
          <w:lang w:val="en-GB"/>
        </w:rPr>
        <w:t xml:space="preserve">under </w:t>
      </w:r>
      <w:r w:rsidR="00B92B7C">
        <w:rPr>
          <w:rFonts w:ascii="Times New Roman" w:eastAsiaTheme="majorEastAsia" w:hAnsi="Times New Roman" w:cs="Times New Roman"/>
          <w:sz w:val="24"/>
          <w:szCs w:val="24"/>
          <w:lang w:val="en-GB"/>
        </w:rPr>
        <w:t>HALE</w:t>
      </w:r>
      <w:r w:rsidR="0037275B" w:rsidRPr="0037275B">
        <w:rPr>
          <w:rFonts w:ascii="Times New Roman" w:eastAsiaTheme="majorEastAsia" w:hAnsi="Times New Roman" w:cs="Times New Roman"/>
          <w:sz w:val="24"/>
          <w:szCs w:val="24"/>
          <w:lang w:val="en-GB"/>
        </w:rPr>
        <w:t xml:space="preserve"> 1, except for very small values of </w:t>
      </w:r>
      <m:oMath>
        <m:r>
          <w:rPr>
            <w:rFonts w:ascii="Cambria Math" w:eastAsiaTheme="majorEastAsia" w:hAnsi="Cambria Math" w:cs="Times New Roman"/>
            <w:sz w:val="24"/>
            <w:szCs w:val="24"/>
            <w:lang w:val="en-GB"/>
          </w:rPr>
          <m:t>η</m:t>
        </m:r>
      </m:oMath>
      <w:r w:rsidR="0037275B">
        <w:rPr>
          <w:rFonts w:ascii="Times New Roman" w:eastAsiaTheme="majorEastAsia" w:hAnsi="Times New Roman" w:cs="Times New Roman"/>
          <w:sz w:val="24"/>
          <w:szCs w:val="24"/>
          <w:lang w:val="en-GB"/>
        </w:rPr>
        <w:t xml:space="preserve"> (e.g. </w:t>
      </w:r>
      <m:oMath>
        <m:r>
          <w:rPr>
            <w:rFonts w:ascii="Cambria Math" w:eastAsiaTheme="majorEastAsia" w:hAnsi="Cambria Math" w:cs="Times New Roman"/>
            <w:sz w:val="24"/>
            <w:szCs w:val="24"/>
            <w:lang w:val="en-GB"/>
          </w:rPr>
          <m:t>η=1.05</m:t>
        </m:r>
      </m:oMath>
      <w:r w:rsidR="0037275B">
        <w:rPr>
          <w:rFonts w:ascii="Times New Roman" w:eastAsiaTheme="majorEastAsia" w:hAnsi="Times New Roman" w:cs="Times New Roman"/>
          <w:sz w:val="24"/>
          <w:szCs w:val="24"/>
          <w:lang w:val="en-GB"/>
        </w:rPr>
        <w:t>)</w:t>
      </w:r>
      <w:r w:rsidR="00E734E2">
        <w:rPr>
          <w:rFonts w:ascii="Times New Roman" w:eastAsiaTheme="majorEastAsia" w:hAnsi="Times New Roman" w:cs="Times New Roman"/>
          <w:sz w:val="24"/>
          <w:szCs w:val="24"/>
          <w:lang w:val="en-GB"/>
        </w:rPr>
        <w:t>.</w:t>
      </w:r>
    </w:p>
    <w:p w14:paraId="02DB1E9F" w14:textId="4E64B9F2" w:rsidR="00182CFB" w:rsidRPr="005537A5" w:rsidRDefault="008663A0" w:rsidP="00424C9E">
      <w:pPr>
        <w:spacing w:line="360" w:lineRule="auto"/>
        <w:jc w:val="both"/>
        <w:rPr>
          <w:rFonts w:ascii="Times New Roman" w:eastAsiaTheme="majorEastAsia" w:hAnsi="Times New Roman" w:cs="Times New Roman"/>
          <w:i/>
          <w:sz w:val="24"/>
          <w:szCs w:val="24"/>
          <w:lang w:val="en-GB"/>
        </w:rPr>
      </w:pPr>
      <w:r>
        <w:rPr>
          <w:rFonts w:ascii="Times New Roman" w:eastAsiaTheme="majorEastAsia" w:hAnsi="Times New Roman" w:cs="Times New Roman"/>
          <w:i/>
          <w:sz w:val="24"/>
          <w:szCs w:val="24"/>
          <w:lang w:val="en-GB"/>
        </w:rPr>
        <w:t>Inequality and welfare orderings, and the equity</w:t>
      </w:r>
      <w:r w:rsidR="00425E03">
        <w:rPr>
          <w:rFonts w:ascii="Times New Roman" w:eastAsiaTheme="majorEastAsia" w:hAnsi="Times New Roman" w:cs="Times New Roman"/>
          <w:i/>
          <w:sz w:val="24"/>
          <w:szCs w:val="24"/>
          <w:lang w:val="en-GB"/>
        </w:rPr>
        <w:t xml:space="preserve"> impact</w:t>
      </w:r>
      <w:r>
        <w:rPr>
          <w:rFonts w:ascii="Times New Roman" w:eastAsiaTheme="majorEastAsia" w:hAnsi="Times New Roman" w:cs="Times New Roman"/>
          <w:i/>
          <w:sz w:val="24"/>
          <w:szCs w:val="24"/>
          <w:lang w:val="en-GB"/>
        </w:rPr>
        <w:t xml:space="preserve"> plane for different attitudes to inequality aversion</w:t>
      </w:r>
    </w:p>
    <w:p w14:paraId="4F33E900" w14:textId="16547344" w:rsidR="008663A0" w:rsidRDefault="006308FF" w:rsidP="00424C9E">
      <w:pPr>
        <w:spacing w:line="360" w:lineRule="auto"/>
        <w:jc w:val="both"/>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 xml:space="preserve">This exercise illustrates the </w:t>
      </w:r>
      <w:r w:rsidR="008663A0" w:rsidRPr="00406343">
        <w:rPr>
          <w:rFonts w:ascii="Times New Roman" w:eastAsiaTheme="majorEastAsia" w:hAnsi="Times New Roman" w:cs="Times New Roman"/>
          <w:sz w:val="24"/>
          <w:szCs w:val="24"/>
          <w:lang w:val="en-GB"/>
        </w:rPr>
        <w:t>compa</w:t>
      </w:r>
      <w:r w:rsidR="008663A0">
        <w:rPr>
          <w:rFonts w:ascii="Times New Roman" w:eastAsiaTheme="majorEastAsia" w:hAnsi="Times New Roman" w:cs="Times New Roman"/>
          <w:sz w:val="24"/>
          <w:szCs w:val="24"/>
          <w:lang w:val="en-GB"/>
        </w:rPr>
        <w:t>r</w:t>
      </w:r>
      <w:r>
        <w:rPr>
          <w:rFonts w:ascii="Times New Roman" w:eastAsiaTheme="majorEastAsia" w:hAnsi="Times New Roman" w:cs="Times New Roman"/>
          <w:sz w:val="24"/>
          <w:szCs w:val="24"/>
          <w:lang w:val="en-GB"/>
        </w:rPr>
        <w:t>ison of</w:t>
      </w:r>
      <w:r w:rsidR="008663A0" w:rsidRPr="00406343">
        <w:rPr>
          <w:rFonts w:ascii="Times New Roman" w:eastAsiaTheme="majorEastAsia" w:hAnsi="Times New Roman" w:cs="Times New Roman"/>
          <w:sz w:val="24"/>
          <w:szCs w:val="24"/>
          <w:lang w:val="en-GB"/>
        </w:rPr>
        <w:t xml:space="preserve"> inequality and welfare (EDEH) orderings </w:t>
      </w:r>
      <w:r>
        <w:rPr>
          <w:rFonts w:ascii="Times New Roman" w:eastAsiaTheme="majorEastAsia" w:hAnsi="Times New Roman" w:cs="Times New Roman"/>
          <w:sz w:val="24"/>
          <w:szCs w:val="24"/>
          <w:lang w:val="en-GB"/>
        </w:rPr>
        <w:t>for different degrees of inequality aversion and compares with the findings based on dominance analysis in exercise 11.</w:t>
      </w:r>
    </w:p>
    <w:p w14:paraId="2B326ED0" w14:textId="4667B8C2" w:rsidR="00182CFB" w:rsidRDefault="00182CFB" w:rsidP="00424C9E">
      <w:pPr>
        <w:spacing w:line="360" w:lineRule="auto"/>
        <w:jc w:val="both"/>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 xml:space="preserve">Open the </w:t>
      </w:r>
      <w:r w:rsidRPr="00B24662">
        <w:rPr>
          <w:rFonts w:ascii="Times New Roman" w:eastAsiaTheme="majorEastAsia" w:hAnsi="Times New Roman" w:cs="Times New Roman"/>
          <w:sz w:val="24"/>
          <w:szCs w:val="24"/>
          <w:lang w:val="en-GB"/>
        </w:rPr>
        <w:t>&lt;</w:t>
      </w:r>
      <w:r w:rsidR="008B3A1C">
        <w:rPr>
          <w:rFonts w:ascii="Times New Roman" w:eastAsiaTheme="majorEastAsia" w:hAnsi="Times New Roman" w:cs="Times New Roman"/>
          <w:sz w:val="24"/>
          <w:szCs w:val="24"/>
          <w:lang w:val="en-GB"/>
        </w:rPr>
        <w:t xml:space="preserve">inequality aversion &amp; </w:t>
      </w:r>
      <w:r w:rsidR="00A05D1E">
        <w:rPr>
          <w:rFonts w:ascii="Times New Roman" w:eastAsiaTheme="majorEastAsia" w:hAnsi="Times New Roman" w:cs="Times New Roman"/>
          <w:sz w:val="24"/>
          <w:szCs w:val="24"/>
          <w:lang w:val="en-GB"/>
        </w:rPr>
        <w:t>EDEH</w:t>
      </w:r>
      <w:r w:rsidRPr="00B24662">
        <w:rPr>
          <w:rFonts w:ascii="Times New Roman" w:eastAsiaTheme="majorEastAsia" w:hAnsi="Times New Roman" w:cs="Times New Roman"/>
          <w:sz w:val="24"/>
          <w:szCs w:val="24"/>
          <w:lang w:val="en-GB"/>
        </w:rPr>
        <w:t xml:space="preserve">&gt; worksheet. </w:t>
      </w:r>
    </w:p>
    <w:p w14:paraId="7AD85DA7" w14:textId="56C0FC5C" w:rsidR="00F86B2A" w:rsidRPr="00424C9E" w:rsidRDefault="00424C9E" w:rsidP="002A35B1">
      <w:pPr>
        <w:spacing w:line="360" w:lineRule="auto"/>
        <w:ind w:left="720" w:hanging="720"/>
        <w:jc w:val="both"/>
        <w:rPr>
          <w:rFonts w:ascii="Times New Roman" w:eastAsia="Calibri" w:hAnsi="Times New Roman" w:cs="Times New Roman"/>
          <w:sz w:val="24"/>
          <w:szCs w:val="24"/>
        </w:rPr>
      </w:pPr>
      <w:proofErr w:type="spellStart"/>
      <w:r w:rsidRPr="00424C9E">
        <w:rPr>
          <w:rFonts w:ascii="Times New Roman" w:eastAsia="Calibri" w:hAnsi="Times New Roman" w:cs="Times New Roman"/>
          <w:sz w:val="24"/>
          <w:szCs w:val="24"/>
        </w:rPr>
        <w:t>i</w:t>
      </w:r>
      <w:proofErr w:type="spellEnd"/>
      <w:r w:rsidRPr="00424C9E">
        <w:rPr>
          <w:rFonts w:ascii="Times New Roman" w:eastAsia="Calibri" w:hAnsi="Times New Roman" w:cs="Times New Roman"/>
          <w:sz w:val="24"/>
          <w:szCs w:val="24"/>
        </w:rPr>
        <w:t>.</w:t>
      </w:r>
      <w:r w:rsidRPr="00424C9E">
        <w:rPr>
          <w:rFonts w:ascii="Times New Roman" w:eastAsia="Calibri" w:hAnsi="Times New Roman" w:cs="Times New Roman"/>
          <w:sz w:val="24"/>
          <w:szCs w:val="24"/>
        </w:rPr>
        <w:tab/>
        <w:t xml:space="preserve">Figure 1 plots the value of </w:t>
      </w:r>
      <w:r w:rsidRPr="00424C9E">
        <w:rPr>
          <w:rFonts w:ascii="Times New Roman" w:eastAsia="Calibri" w:hAnsi="Times New Roman" w:cs="Times New Roman"/>
          <w:i/>
          <w:sz w:val="24"/>
          <w:szCs w:val="24"/>
          <w:lang w:val="nl-BE"/>
        </w:rPr>
        <w:t>η</w:t>
      </w:r>
      <w:r w:rsidRPr="00424C9E">
        <w:rPr>
          <w:rFonts w:ascii="Times New Roman" w:eastAsia="Calibri" w:hAnsi="Times New Roman" w:cs="Times New Roman"/>
          <w:sz w:val="24"/>
          <w:szCs w:val="24"/>
        </w:rPr>
        <w:t xml:space="preserve"> versus the level of EDEH for the three polic</w:t>
      </w:r>
      <w:r w:rsidR="00926946">
        <w:rPr>
          <w:rFonts w:ascii="Times New Roman" w:eastAsia="Calibri" w:hAnsi="Times New Roman" w:cs="Times New Roman"/>
          <w:sz w:val="24"/>
          <w:szCs w:val="24"/>
        </w:rPr>
        <w:t>y option</w:t>
      </w:r>
      <w:r w:rsidRPr="00424C9E">
        <w:rPr>
          <w:rFonts w:ascii="Times New Roman" w:eastAsia="Calibri" w:hAnsi="Times New Roman" w:cs="Times New Roman"/>
          <w:sz w:val="24"/>
          <w:szCs w:val="24"/>
        </w:rPr>
        <w:t>s, which is a graphical represen</w:t>
      </w:r>
      <w:r>
        <w:rPr>
          <w:rFonts w:ascii="Times New Roman" w:eastAsia="Calibri" w:hAnsi="Times New Roman" w:cs="Times New Roman"/>
          <w:sz w:val="24"/>
          <w:szCs w:val="24"/>
        </w:rPr>
        <w:t>t</w:t>
      </w:r>
      <w:r w:rsidRPr="00424C9E">
        <w:rPr>
          <w:rFonts w:ascii="Times New Roman" w:eastAsia="Calibri" w:hAnsi="Times New Roman" w:cs="Times New Roman"/>
          <w:sz w:val="24"/>
          <w:szCs w:val="24"/>
        </w:rPr>
        <w:t xml:space="preserve">ation of the information in Table 3. Since differences between scenarios </w:t>
      </w:r>
      <w:r w:rsidR="00767D99">
        <w:rPr>
          <w:rFonts w:ascii="Times New Roman" w:eastAsia="Calibri" w:hAnsi="Times New Roman" w:cs="Times New Roman"/>
          <w:sz w:val="24"/>
          <w:szCs w:val="24"/>
        </w:rPr>
        <w:t xml:space="preserve">appear too </w:t>
      </w:r>
      <w:r w:rsidRPr="00424C9E">
        <w:rPr>
          <w:rFonts w:ascii="Times New Roman" w:eastAsia="Calibri" w:hAnsi="Times New Roman" w:cs="Times New Roman"/>
          <w:sz w:val="24"/>
          <w:szCs w:val="24"/>
        </w:rPr>
        <w:t>small</w:t>
      </w:r>
      <w:r w:rsidR="00767D99">
        <w:rPr>
          <w:rFonts w:ascii="Times New Roman" w:eastAsia="Calibri" w:hAnsi="Times New Roman" w:cs="Times New Roman"/>
          <w:sz w:val="24"/>
          <w:szCs w:val="24"/>
        </w:rPr>
        <w:t xml:space="preserve"> to discern on the scale used in Figure 2, </w:t>
      </w:r>
      <w:r w:rsidRPr="00424C9E">
        <w:rPr>
          <w:rFonts w:ascii="Times New Roman" w:eastAsia="Calibri" w:hAnsi="Times New Roman" w:cs="Times New Roman"/>
          <w:sz w:val="24"/>
          <w:szCs w:val="24"/>
        </w:rPr>
        <w:t xml:space="preserve">we plot the </w:t>
      </w:r>
      <w:r w:rsidR="00767D99">
        <w:rPr>
          <w:rFonts w:ascii="Times New Roman" w:eastAsia="Calibri" w:hAnsi="Times New Roman" w:cs="Times New Roman"/>
          <w:sz w:val="24"/>
          <w:szCs w:val="24"/>
        </w:rPr>
        <w:t xml:space="preserve">corresponding deviations from </w:t>
      </w:r>
      <w:r w:rsidR="00926946">
        <w:rPr>
          <w:rFonts w:ascii="Times New Roman" w:eastAsia="Calibri" w:hAnsi="Times New Roman" w:cs="Times New Roman"/>
          <w:sz w:val="24"/>
          <w:szCs w:val="24"/>
        </w:rPr>
        <w:t>policy option HALE</w:t>
      </w:r>
      <w:r w:rsidRPr="00424C9E">
        <w:rPr>
          <w:rFonts w:ascii="Times New Roman" w:eastAsia="Calibri" w:hAnsi="Times New Roman" w:cs="Times New Roman"/>
          <w:sz w:val="24"/>
          <w:szCs w:val="24"/>
        </w:rPr>
        <w:t xml:space="preserve"> 1 in Figure 2</w:t>
      </w:r>
      <w:r w:rsidR="00926946">
        <w:rPr>
          <w:rFonts w:ascii="Times New Roman" w:eastAsia="Calibri" w:hAnsi="Times New Roman" w:cs="Times New Roman"/>
          <w:sz w:val="24"/>
          <w:szCs w:val="24"/>
        </w:rPr>
        <w:t xml:space="preserve">, based on </w:t>
      </w:r>
      <w:r w:rsidRPr="00424C9E">
        <w:rPr>
          <w:rFonts w:ascii="Times New Roman" w:eastAsia="Calibri" w:hAnsi="Times New Roman" w:cs="Times New Roman"/>
          <w:sz w:val="24"/>
          <w:szCs w:val="24"/>
        </w:rPr>
        <w:t>auxiliary calculations in table 4. Confirm that cu</w:t>
      </w:r>
      <w:r>
        <w:rPr>
          <w:rFonts w:ascii="Times New Roman" w:eastAsia="Calibri" w:hAnsi="Times New Roman" w:cs="Times New Roman"/>
          <w:sz w:val="24"/>
          <w:szCs w:val="24"/>
        </w:rPr>
        <w:t>r</w:t>
      </w:r>
      <w:r w:rsidRPr="00424C9E">
        <w:rPr>
          <w:rFonts w:ascii="Times New Roman" w:eastAsia="Calibri" w:hAnsi="Times New Roman" w:cs="Times New Roman"/>
          <w:sz w:val="24"/>
          <w:szCs w:val="24"/>
        </w:rPr>
        <w:t xml:space="preserve">ves cross around </w:t>
      </w:r>
      <w:r w:rsidRPr="00424C9E">
        <w:rPr>
          <w:rFonts w:ascii="Times New Roman" w:eastAsia="Calibri" w:hAnsi="Times New Roman" w:cs="Times New Roman"/>
          <w:i/>
          <w:sz w:val="24"/>
          <w:szCs w:val="24"/>
          <w:lang w:val="nl-BE"/>
        </w:rPr>
        <w:t>η</w:t>
      </w:r>
      <w:r w:rsidR="00926946" w:rsidRPr="002A35B1">
        <w:rPr>
          <w:rFonts w:ascii="Times New Roman" w:eastAsia="Calibri" w:hAnsi="Times New Roman" w:cs="Times New Roman"/>
          <w:i/>
          <w:sz w:val="24"/>
          <w:szCs w:val="24"/>
        </w:rPr>
        <w:t xml:space="preserve"> </w:t>
      </w:r>
      <w:r w:rsidRPr="00424C9E">
        <w:rPr>
          <w:rFonts w:ascii="Times New Roman" w:eastAsia="Calibri" w:hAnsi="Times New Roman" w:cs="Times New Roman"/>
          <w:i/>
          <w:sz w:val="24"/>
          <w:szCs w:val="24"/>
        </w:rPr>
        <w:t>=</w:t>
      </w:r>
      <w:r w:rsidR="00926946">
        <w:rPr>
          <w:rFonts w:ascii="Times New Roman" w:eastAsia="Calibri" w:hAnsi="Times New Roman" w:cs="Times New Roman"/>
          <w:i/>
          <w:sz w:val="24"/>
          <w:szCs w:val="24"/>
        </w:rPr>
        <w:t xml:space="preserve"> </w:t>
      </w:r>
      <w:r w:rsidRPr="00424C9E">
        <w:rPr>
          <w:rFonts w:ascii="Times New Roman" w:eastAsia="Calibri" w:hAnsi="Times New Roman" w:cs="Times New Roman"/>
          <w:i/>
          <w:sz w:val="24"/>
          <w:szCs w:val="24"/>
        </w:rPr>
        <w:t>1.3</w:t>
      </w:r>
      <w:r w:rsidRPr="00424C9E">
        <w:rPr>
          <w:rFonts w:ascii="Times New Roman" w:eastAsia="Calibri" w:hAnsi="Times New Roman" w:cs="Times New Roman"/>
          <w:sz w:val="24"/>
          <w:szCs w:val="24"/>
        </w:rPr>
        <w:t xml:space="preserve"> implying that </w:t>
      </w:r>
      <w:r w:rsidR="00926946">
        <w:rPr>
          <w:rFonts w:ascii="Times New Roman" w:eastAsia="Calibri" w:hAnsi="Times New Roman" w:cs="Times New Roman"/>
          <w:sz w:val="24"/>
          <w:szCs w:val="24"/>
        </w:rPr>
        <w:t xml:space="preserve">option </w:t>
      </w:r>
      <w:r w:rsidRPr="00424C9E">
        <w:rPr>
          <w:rFonts w:ascii="Times New Roman" w:eastAsia="Calibri" w:hAnsi="Times New Roman" w:cs="Times New Roman"/>
          <w:sz w:val="24"/>
          <w:szCs w:val="24"/>
        </w:rPr>
        <w:t xml:space="preserve">3 has higher welfare when </w:t>
      </w:r>
      <w:r w:rsidRPr="00424C9E">
        <w:rPr>
          <w:rFonts w:ascii="Times New Roman" w:eastAsia="Calibri" w:hAnsi="Times New Roman" w:cs="Times New Roman"/>
          <w:sz w:val="24"/>
          <w:szCs w:val="24"/>
          <w:lang w:val="nl-BE"/>
        </w:rPr>
        <w:t>η</w:t>
      </w:r>
      <w:r w:rsidRPr="00424C9E">
        <w:rPr>
          <w:rFonts w:ascii="Times New Roman" w:eastAsia="Calibri" w:hAnsi="Times New Roman" w:cs="Times New Roman"/>
          <w:sz w:val="24"/>
          <w:szCs w:val="24"/>
        </w:rPr>
        <w:t xml:space="preserve"> is larger than 1.3, and </w:t>
      </w:r>
      <w:r w:rsidR="00926946">
        <w:rPr>
          <w:rFonts w:ascii="Times New Roman" w:eastAsia="Calibri" w:hAnsi="Times New Roman" w:cs="Times New Roman"/>
          <w:sz w:val="24"/>
          <w:szCs w:val="24"/>
        </w:rPr>
        <w:t>option</w:t>
      </w:r>
      <w:r w:rsidRPr="00424C9E">
        <w:rPr>
          <w:rFonts w:ascii="Times New Roman" w:eastAsia="Calibri" w:hAnsi="Times New Roman" w:cs="Times New Roman"/>
          <w:sz w:val="24"/>
          <w:szCs w:val="24"/>
        </w:rPr>
        <w:t xml:space="preserve"> 2 has highest welfare for values smaller than 1.3.</w:t>
      </w:r>
    </w:p>
    <w:p w14:paraId="08B5209B" w14:textId="34BE82B9" w:rsidR="00424C9E" w:rsidRPr="009058FD" w:rsidRDefault="00424C9E" w:rsidP="002A35B1">
      <w:pPr>
        <w:spacing w:line="360" w:lineRule="auto"/>
        <w:ind w:left="720"/>
        <w:jc w:val="both"/>
        <w:rPr>
          <w:rFonts w:ascii="Times New Roman" w:eastAsia="Calibri" w:hAnsi="Times New Roman" w:cs="Times New Roman"/>
          <w:sz w:val="24"/>
          <w:szCs w:val="24"/>
          <w:lang w:val="en-GB"/>
        </w:rPr>
      </w:pPr>
      <w:r w:rsidRPr="009058FD">
        <w:rPr>
          <w:rFonts w:ascii="Times New Roman" w:eastAsia="Calibri" w:hAnsi="Times New Roman" w:cs="Times New Roman"/>
          <w:i/>
          <w:sz w:val="24"/>
          <w:szCs w:val="24"/>
          <w:lang w:val="en-GB"/>
        </w:rPr>
        <w:t xml:space="preserve">Hint: these figures are useful to check for crossings of the curves, i.e. to check whether the welfare ordering based on EDEH is robust to the value chosen for </w:t>
      </w:r>
      <m:oMath>
        <m:r>
          <w:rPr>
            <w:rFonts w:ascii="Cambria Math" w:eastAsia="Calibri" w:hAnsi="Cambria Math" w:cs="Times New Roman"/>
            <w:sz w:val="24"/>
            <w:szCs w:val="24"/>
            <w:lang w:val="en-GB"/>
          </w:rPr>
          <m:t>η</m:t>
        </m:r>
      </m:oMath>
      <w:r w:rsidRPr="009058FD">
        <w:rPr>
          <w:rFonts w:ascii="Times New Roman" w:eastAsia="Calibri" w:hAnsi="Times New Roman" w:cs="Times New Roman"/>
          <w:i/>
          <w:sz w:val="24"/>
          <w:szCs w:val="24"/>
          <w:lang w:val="en-GB"/>
        </w:rPr>
        <w:t xml:space="preserve">. They should however not be used to compare the level of welfare for different values of </w:t>
      </w:r>
      <m:oMath>
        <m:r>
          <w:rPr>
            <w:rFonts w:ascii="Cambria Math" w:eastAsia="Calibri" w:hAnsi="Cambria Math" w:cs="Times New Roman"/>
            <w:sz w:val="24"/>
            <w:szCs w:val="24"/>
            <w:lang w:val="en-GB"/>
          </w:rPr>
          <m:t>η</m:t>
        </m:r>
      </m:oMath>
      <w:r w:rsidRPr="009058FD">
        <w:rPr>
          <w:rFonts w:ascii="Times New Roman" w:eastAsia="Times New Roman" w:hAnsi="Times New Roman" w:cs="Times New Roman"/>
          <w:i/>
          <w:sz w:val="24"/>
          <w:szCs w:val="24"/>
          <w:lang w:val="en-GB"/>
        </w:rPr>
        <w:t xml:space="preserve">. In other </w:t>
      </w:r>
      <w:proofErr w:type="gramStart"/>
      <w:r w:rsidRPr="009058FD">
        <w:rPr>
          <w:rFonts w:ascii="Times New Roman" w:eastAsia="Times New Roman" w:hAnsi="Times New Roman" w:cs="Times New Roman"/>
          <w:i/>
          <w:sz w:val="24"/>
          <w:szCs w:val="24"/>
          <w:lang w:val="en-GB"/>
        </w:rPr>
        <w:t>words</w:t>
      </w:r>
      <w:proofErr w:type="gramEnd"/>
      <w:r w:rsidRPr="009058FD">
        <w:rPr>
          <w:rFonts w:ascii="Times New Roman" w:eastAsia="Times New Roman" w:hAnsi="Times New Roman" w:cs="Times New Roman"/>
          <w:i/>
          <w:sz w:val="24"/>
          <w:szCs w:val="24"/>
          <w:lang w:val="en-GB"/>
        </w:rPr>
        <w:t xml:space="preserve"> only vertical differences between two </w:t>
      </w:r>
      <w:r w:rsidR="00926946">
        <w:rPr>
          <w:rFonts w:ascii="Times New Roman" w:eastAsia="Times New Roman" w:hAnsi="Times New Roman" w:cs="Times New Roman"/>
          <w:i/>
          <w:sz w:val="24"/>
          <w:szCs w:val="24"/>
          <w:lang w:val="en-GB"/>
        </w:rPr>
        <w:t xml:space="preserve">options for the same value of </w:t>
      </w:r>
      <m:oMath>
        <m:r>
          <w:rPr>
            <w:rFonts w:ascii="Cambria Math" w:eastAsia="Calibri" w:hAnsi="Cambria Math" w:cs="Times New Roman"/>
            <w:sz w:val="24"/>
            <w:szCs w:val="24"/>
            <w:lang w:val="en-GB"/>
          </w:rPr>
          <m:t>η</m:t>
        </m:r>
      </m:oMath>
      <w:r w:rsidR="00926946" w:rsidRPr="009058FD">
        <w:rPr>
          <w:rFonts w:ascii="Times New Roman" w:eastAsia="Times New Roman" w:hAnsi="Times New Roman" w:cs="Times New Roman"/>
          <w:i/>
          <w:sz w:val="24"/>
          <w:szCs w:val="24"/>
          <w:lang w:val="en-GB"/>
        </w:rPr>
        <w:t xml:space="preserve"> </w:t>
      </w:r>
      <w:r w:rsidRPr="009058FD">
        <w:rPr>
          <w:rFonts w:ascii="Times New Roman" w:eastAsia="Times New Roman" w:hAnsi="Times New Roman" w:cs="Times New Roman"/>
          <w:i/>
          <w:sz w:val="24"/>
          <w:szCs w:val="24"/>
          <w:lang w:val="en-GB"/>
        </w:rPr>
        <w:t xml:space="preserve">are </w:t>
      </w:r>
      <w:r w:rsidRPr="009058FD">
        <w:rPr>
          <w:rFonts w:ascii="Times New Roman" w:eastAsia="Times New Roman" w:hAnsi="Times New Roman" w:cs="Times New Roman"/>
          <w:i/>
          <w:sz w:val="24"/>
          <w:szCs w:val="24"/>
          <w:lang w:val="en-GB"/>
        </w:rPr>
        <w:lastRenderedPageBreak/>
        <w:t xml:space="preserve">informative, while the change in the level of EDEH for different values of </w:t>
      </w:r>
      <m:oMath>
        <m:r>
          <w:rPr>
            <w:rFonts w:ascii="Cambria Math" w:eastAsia="Calibri" w:hAnsi="Cambria Math" w:cs="Times New Roman"/>
            <w:sz w:val="24"/>
            <w:szCs w:val="24"/>
            <w:lang w:val="en-GB"/>
          </w:rPr>
          <m:t>η</m:t>
        </m:r>
      </m:oMath>
      <w:r w:rsidRPr="009058FD">
        <w:rPr>
          <w:rFonts w:ascii="Times New Roman" w:eastAsia="Times New Roman" w:hAnsi="Times New Roman" w:cs="Times New Roman"/>
          <w:i/>
          <w:sz w:val="24"/>
          <w:szCs w:val="24"/>
          <w:lang w:val="en-GB"/>
        </w:rPr>
        <w:t xml:space="preserve"> is not informative.</w:t>
      </w:r>
    </w:p>
    <w:p w14:paraId="22A706BE" w14:textId="01524A12" w:rsidR="00424C9E" w:rsidRPr="00424C9E" w:rsidRDefault="00DD0C8F" w:rsidP="00423113">
      <w:pPr>
        <w:spacing w:line="360" w:lineRule="auto"/>
        <w:ind w:left="720" w:hanging="720"/>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ii.</w:t>
      </w:r>
      <w:r>
        <w:rPr>
          <w:rFonts w:ascii="Times New Roman" w:eastAsiaTheme="majorEastAsia" w:hAnsi="Times New Roman" w:cs="Times New Roman"/>
          <w:sz w:val="24"/>
          <w:szCs w:val="24"/>
        </w:rPr>
        <w:tab/>
      </w:r>
      <w:r w:rsidR="00424C9E" w:rsidRPr="00424C9E">
        <w:rPr>
          <w:rFonts w:ascii="Times New Roman" w:eastAsiaTheme="majorEastAsia" w:hAnsi="Times New Roman" w:cs="Times New Roman"/>
          <w:sz w:val="24"/>
          <w:szCs w:val="24"/>
        </w:rPr>
        <w:t xml:space="preserve">Comparison with the dominance analysis in exercise 11 reveals that the welfare ordering obtained from a SWF can depend on the specific </w:t>
      </w:r>
      <w:r w:rsidR="00926946">
        <w:rPr>
          <w:rFonts w:ascii="Times New Roman" w:eastAsiaTheme="majorEastAsia" w:hAnsi="Times New Roman" w:cs="Times New Roman"/>
          <w:sz w:val="24"/>
          <w:szCs w:val="24"/>
        </w:rPr>
        <w:t xml:space="preserve">inequality aversion </w:t>
      </w:r>
      <w:r w:rsidR="00424C9E" w:rsidRPr="00424C9E">
        <w:rPr>
          <w:rFonts w:ascii="Times New Roman" w:eastAsiaTheme="majorEastAsia" w:hAnsi="Times New Roman" w:cs="Times New Roman"/>
          <w:sz w:val="24"/>
          <w:szCs w:val="24"/>
        </w:rPr>
        <w:t>parameter</w:t>
      </w:r>
      <w:r w:rsidR="00926946">
        <w:rPr>
          <w:rFonts w:ascii="Times New Roman" w:eastAsiaTheme="majorEastAsia" w:hAnsi="Times New Roman" w:cs="Times New Roman"/>
          <w:sz w:val="24"/>
          <w:szCs w:val="24"/>
        </w:rPr>
        <w:t xml:space="preserve"> value</w:t>
      </w:r>
      <w:r w:rsidR="00424C9E" w:rsidRPr="00424C9E">
        <w:rPr>
          <w:rFonts w:ascii="Times New Roman" w:eastAsiaTheme="majorEastAsia" w:hAnsi="Times New Roman" w:cs="Times New Roman"/>
          <w:sz w:val="24"/>
          <w:szCs w:val="24"/>
        </w:rPr>
        <w:t xml:space="preserve"> chosen for the weighting function. We found that </w:t>
      </w:r>
      <w:r w:rsidR="00926946">
        <w:rPr>
          <w:rFonts w:ascii="Times New Roman" w:eastAsiaTheme="majorEastAsia" w:hAnsi="Times New Roman" w:cs="Times New Roman"/>
          <w:sz w:val="24"/>
          <w:szCs w:val="24"/>
        </w:rPr>
        <w:t xml:space="preserve">option </w:t>
      </w:r>
      <w:r w:rsidR="00424C9E" w:rsidRPr="00424C9E">
        <w:rPr>
          <w:rFonts w:ascii="Times New Roman" w:eastAsiaTheme="majorEastAsia" w:hAnsi="Times New Roman" w:cs="Times New Roman"/>
          <w:sz w:val="24"/>
          <w:szCs w:val="24"/>
        </w:rPr>
        <w:t xml:space="preserve">3 dominated </w:t>
      </w:r>
      <w:r w:rsidR="00926946">
        <w:rPr>
          <w:rFonts w:ascii="Times New Roman" w:eastAsiaTheme="majorEastAsia" w:hAnsi="Times New Roman" w:cs="Times New Roman"/>
          <w:sz w:val="24"/>
          <w:szCs w:val="24"/>
        </w:rPr>
        <w:t xml:space="preserve">option </w:t>
      </w:r>
      <w:r w:rsidR="00424C9E" w:rsidRPr="00424C9E">
        <w:rPr>
          <w:rFonts w:ascii="Times New Roman" w:eastAsiaTheme="majorEastAsia" w:hAnsi="Times New Roman" w:cs="Times New Roman"/>
          <w:sz w:val="24"/>
          <w:szCs w:val="24"/>
        </w:rPr>
        <w:t xml:space="preserve">2 only after imposing downside positional transfer sensitivity (DPTS), which holds for </w:t>
      </w:r>
      <m:oMath>
        <m:r>
          <w:rPr>
            <w:rFonts w:ascii="Cambria Math" w:eastAsiaTheme="majorEastAsia" w:hAnsi="Cambria Math" w:cs="Times New Roman"/>
            <w:sz w:val="24"/>
            <w:szCs w:val="24"/>
          </w:rPr>
          <m:t>η&gt;2</m:t>
        </m:r>
      </m:oMath>
      <w:r w:rsidR="00424C9E" w:rsidRPr="00424C9E">
        <w:rPr>
          <w:rFonts w:ascii="Times New Roman" w:eastAsiaTheme="majorEastAsia" w:hAnsi="Times New Roman" w:cs="Times New Roman"/>
          <w:sz w:val="24"/>
          <w:szCs w:val="24"/>
        </w:rPr>
        <w:t xml:space="preserve"> under the extended Gini family of SWF. In this exercise, we find that under imposition of that SWF, </w:t>
      </w:r>
      <w:r w:rsidR="00926946">
        <w:rPr>
          <w:rFonts w:ascii="Times New Roman" w:eastAsiaTheme="majorEastAsia" w:hAnsi="Times New Roman" w:cs="Times New Roman"/>
          <w:sz w:val="24"/>
          <w:szCs w:val="24"/>
        </w:rPr>
        <w:t xml:space="preserve">option </w:t>
      </w:r>
      <w:r w:rsidR="00B12DE2">
        <w:rPr>
          <w:rFonts w:ascii="Times New Roman" w:eastAsiaTheme="majorEastAsia" w:hAnsi="Times New Roman" w:cs="Times New Roman"/>
          <w:sz w:val="24"/>
          <w:szCs w:val="24"/>
        </w:rPr>
        <w:t xml:space="preserve">3 is </w:t>
      </w:r>
      <w:r w:rsidR="00926946">
        <w:rPr>
          <w:rFonts w:ascii="Times New Roman" w:eastAsiaTheme="majorEastAsia" w:hAnsi="Times New Roman" w:cs="Times New Roman"/>
          <w:sz w:val="24"/>
          <w:szCs w:val="24"/>
        </w:rPr>
        <w:t xml:space="preserve">still </w:t>
      </w:r>
      <w:r w:rsidR="00B12DE2">
        <w:rPr>
          <w:rFonts w:ascii="Times New Roman" w:eastAsiaTheme="majorEastAsia" w:hAnsi="Times New Roman" w:cs="Times New Roman"/>
          <w:sz w:val="24"/>
          <w:szCs w:val="24"/>
        </w:rPr>
        <w:t xml:space="preserve">socially preferred to </w:t>
      </w:r>
      <w:r w:rsidR="00926946">
        <w:rPr>
          <w:rFonts w:ascii="Times New Roman" w:eastAsiaTheme="majorEastAsia" w:hAnsi="Times New Roman" w:cs="Times New Roman"/>
          <w:sz w:val="24"/>
          <w:szCs w:val="24"/>
        </w:rPr>
        <w:t xml:space="preserve">option </w:t>
      </w:r>
      <w:r w:rsidR="00424C9E" w:rsidRPr="00424C9E">
        <w:rPr>
          <w:rFonts w:ascii="Times New Roman" w:eastAsiaTheme="majorEastAsia" w:hAnsi="Times New Roman" w:cs="Times New Roman"/>
          <w:sz w:val="24"/>
          <w:szCs w:val="24"/>
        </w:rPr>
        <w:t xml:space="preserve">2 at lower values of </w:t>
      </w:r>
      <m:oMath>
        <m:r>
          <w:rPr>
            <w:rFonts w:ascii="Cambria Math" w:eastAsiaTheme="majorEastAsia" w:hAnsi="Cambria Math" w:cs="Times New Roman"/>
            <w:sz w:val="24"/>
            <w:szCs w:val="24"/>
          </w:rPr>
          <m:t>η</m:t>
        </m:r>
      </m:oMath>
      <w:r w:rsidR="00424C9E" w:rsidRPr="00424C9E">
        <w:rPr>
          <w:rFonts w:ascii="Times New Roman" w:eastAsiaTheme="majorEastAsia" w:hAnsi="Times New Roman" w:cs="Times New Roman"/>
          <w:sz w:val="24"/>
          <w:szCs w:val="24"/>
        </w:rPr>
        <w:t xml:space="preserve"> inconsistent with DPTS.</w:t>
      </w:r>
    </w:p>
    <w:p w14:paraId="5B15BE3D" w14:textId="41DEC4C9" w:rsidR="00DD0C8F" w:rsidRPr="00F42EB1" w:rsidRDefault="00DD0C8F" w:rsidP="00424C9E">
      <w:pPr>
        <w:spacing w:line="360" w:lineRule="auto"/>
        <w:jc w:val="both"/>
        <w:rPr>
          <w:rFonts w:ascii="Times New Roman" w:eastAsia="Calibri" w:hAnsi="Times New Roman" w:cs="Times New Roman"/>
          <w:sz w:val="24"/>
          <w:szCs w:val="24"/>
        </w:rPr>
      </w:pPr>
      <w:r w:rsidRPr="00F42EB1">
        <w:rPr>
          <w:rFonts w:ascii="Times New Roman" w:eastAsia="Calibri" w:hAnsi="Times New Roman" w:cs="Times New Roman"/>
          <w:sz w:val="24"/>
          <w:szCs w:val="24"/>
        </w:rPr>
        <w:t>Open the &lt;</w:t>
      </w:r>
      <w:r w:rsidR="00506CEE" w:rsidRPr="00F42EB1">
        <w:rPr>
          <w:rFonts w:ascii="Times New Roman" w:eastAsia="Calibri" w:hAnsi="Times New Roman" w:cs="Times New Roman"/>
          <w:sz w:val="24"/>
          <w:szCs w:val="24"/>
        </w:rPr>
        <w:t>equity plane &amp; EDEH</w:t>
      </w:r>
      <w:r w:rsidRPr="00F42EB1">
        <w:rPr>
          <w:rFonts w:ascii="Times New Roman" w:eastAsia="Calibri" w:hAnsi="Times New Roman" w:cs="Times New Roman"/>
          <w:sz w:val="24"/>
          <w:szCs w:val="24"/>
        </w:rPr>
        <w:t>&gt; worksheet</w:t>
      </w:r>
    </w:p>
    <w:p w14:paraId="333E03E5" w14:textId="7B04BA52" w:rsidR="00F42EB1" w:rsidRPr="002A35B1" w:rsidRDefault="004363D2" w:rsidP="006D012E">
      <w:pPr>
        <w:spacing w:line="360" w:lineRule="auto"/>
        <w:ind w:left="720" w:hanging="720"/>
        <w:jc w:val="both"/>
        <w:rPr>
          <w:rFonts w:ascii="Times New Roman" w:eastAsia="Calibri" w:hAnsi="Times New Roman" w:cs="Times New Roman"/>
          <w:sz w:val="24"/>
          <w:szCs w:val="24"/>
        </w:rPr>
      </w:pPr>
      <w:r w:rsidRPr="00F42EB1">
        <w:rPr>
          <w:rFonts w:ascii="Times New Roman" w:eastAsia="Calibri" w:hAnsi="Times New Roman" w:cs="Times New Roman"/>
          <w:sz w:val="24"/>
          <w:szCs w:val="24"/>
        </w:rPr>
        <w:t>iii.</w:t>
      </w:r>
      <w:r w:rsidR="0052755B" w:rsidRPr="00F42EB1">
        <w:rPr>
          <w:rFonts w:ascii="Times New Roman" w:eastAsia="Calibri" w:hAnsi="Times New Roman" w:cs="Times New Roman"/>
          <w:sz w:val="24"/>
          <w:szCs w:val="24"/>
        </w:rPr>
        <w:tab/>
      </w:r>
      <w:r w:rsidR="00926946">
        <w:rPr>
          <w:rFonts w:ascii="Times New Roman" w:eastAsia="Calibri" w:hAnsi="Times New Roman" w:cs="Times New Roman"/>
          <w:sz w:val="24"/>
          <w:szCs w:val="24"/>
        </w:rPr>
        <w:t xml:space="preserve">This worksheet </w:t>
      </w:r>
      <w:r w:rsidR="00926946">
        <w:rPr>
          <w:rFonts w:ascii="Times New Roman" w:eastAsia="Calibri" w:hAnsi="Times New Roman" w:cs="Times New Roman"/>
          <w:sz w:val="24"/>
          <w:szCs w:val="24"/>
          <w:lang w:val="en-GB"/>
        </w:rPr>
        <w:t>p</w:t>
      </w:r>
      <w:r w:rsidR="00F42EB1" w:rsidRPr="009058FD">
        <w:rPr>
          <w:rFonts w:ascii="Times New Roman" w:eastAsia="Calibri" w:hAnsi="Times New Roman" w:cs="Times New Roman"/>
          <w:sz w:val="24"/>
          <w:szCs w:val="24"/>
          <w:lang w:val="en-GB"/>
        </w:rPr>
        <w:t>lot</w:t>
      </w:r>
      <w:r w:rsidR="00926946">
        <w:rPr>
          <w:rFonts w:ascii="Times New Roman" w:eastAsia="Calibri" w:hAnsi="Times New Roman" w:cs="Times New Roman"/>
          <w:sz w:val="24"/>
          <w:szCs w:val="24"/>
          <w:lang w:val="en-GB"/>
        </w:rPr>
        <w:t>s</w:t>
      </w:r>
      <w:r w:rsidR="00F42EB1" w:rsidRPr="009058FD">
        <w:rPr>
          <w:rFonts w:ascii="Times New Roman" w:eastAsia="Calibri" w:hAnsi="Times New Roman" w:cs="Times New Roman"/>
          <w:sz w:val="24"/>
          <w:szCs w:val="24"/>
          <w:lang w:val="en-GB"/>
        </w:rPr>
        <w:t xml:space="preserve"> the three </w:t>
      </w:r>
      <w:r w:rsidR="00926946">
        <w:rPr>
          <w:rFonts w:ascii="Times New Roman" w:eastAsia="Calibri" w:hAnsi="Times New Roman" w:cs="Times New Roman"/>
          <w:sz w:val="24"/>
          <w:szCs w:val="24"/>
          <w:lang w:val="en-GB"/>
        </w:rPr>
        <w:t xml:space="preserve">options </w:t>
      </w:r>
      <w:r w:rsidR="00F42EB1" w:rsidRPr="009058FD">
        <w:rPr>
          <w:rFonts w:ascii="Times New Roman" w:eastAsia="Calibri" w:hAnsi="Times New Roman" w:cs="Times New Roman"/>
          <w:sz w:val="24"/>
          <w:szCs w:val="24"/>
          <w:lang w:val="en-GB"/>
        </w:rPr>
        <w:t>in an equity</w:t>
      </w:r>
      <w:r w:rsidR="005534C6">
        <w:rPr>
          <w:rFonts w:ascii="Times New Roman" w:eastAsia="Calibri" w:hAnsi="Times New Roman" w:cs="Times New Roman"/>
          <w:sz w:val="24"/>
          <w:szCs w:val="24"/>
          <w:lang w:val="en-GB"/>
        </w:rPr>
        <w:t>-efficiency</w:t>
      </w:r>
      <w:r w:rsidR="00F42EB1" w:rsidRPr="009058FD">
        <w:rPr>
          <w:rFonts w:ascii="Times New Roman" w:eastAsia="Calibri" w:hAnsi="Times New Roman" w:cs="Times New Roman"/>
          <w:sz w:val="24"/>
          <w:szCs w:val="24"/>
          <w:lang w:val="en-GB"/>
        </w:rPr>
        <w:t xml:space="preserve"> plane</w:t>
      </w:r>
      <w:r w:rsidR="005534C6">
        <w:rPr>
          <w:rFonts w:ascii="Times New Roman" w:eastAsia="Calibri" w:hAnsi="Times New Roman" w:cs="Times New Roman"/>
          <w:sz w:val="24"/>
          <w:szCs w:val="24"/>
          <w:lang w:val="en-GB"/>
        </w:rPr>
        <w:t xml:space="preserve">, with </w:t>
      </w:r>
      <w:r w:rsidR="0058573B">
        <w:rPr>
          <w:rFonts w:ascii="Times New Roman" w:eastAsia="Calibri" w:hAnsi="Times New Roman" w:cs="Times New Roman"/>
          <w:sz w:val="24"/>
          <w:szCs w:val="24"/>
          <w:lang w:val="en-GB"/>
        </w:rPr>
        <w:t xml:space="preserve">the </w:t>
      </w:r>
      <w:r w:rsidR="00F42EB1">
        <w:rPr>
          <w:rFonts w:ascii="Times New Roman" w:eastAsia="Calibri" w:hAnsi="Times New Roman" w:cs="Times New Roman"/>
          <w:sz w:val="24"/>
          <w:szCs w:val="24"/>
          <w:lang w:val="en-GB"/>
        </w:rPr>
        <w:t xml:space="preserve">average health </w:t>
      </w:r>
      <w:r w:rsidR="0058573B">
        <w:rPr>
          <w:rFonts w:ascii="Times New Roman" w:eastAsia="Calibri" w:hAnsi="Times New Roman" w:cs="Times New Roman"/>
          <w:sz w:val="24"/>
          <w:szCs w:val="24"/>
          <w:lang w:val="en-GB"/>
        </w:rPr>
        <w:t xml:space="preserve">level </w:t>
      </w:r>
      <w:r w:rsidR="00767D99">
        <w:rPr>
          <w:rFonts w:ascii="Times New Roman" w:eastAsia="Calibri" w:hAnsi="Times New Roman" w:cs="Times New Roman"/>
          <w:sz w:val="24"/>
          <w:szCs w:val="24"/>
          <w:lang w:val="en-GB"/>
        </w:rPr>
        <w:t xml:space="preserve">in HALE </w:t>
      </w:r>
      <w:r w:rsidR="00F42EB1">
        <w:rPr>
          <w:rFonts w:ascii="Times New Roman" w:eastAsia="Calibri" w:hAnsi="Times New Roman" w:cs="Times New Roman"/>
          <w:sz w:val="24"/>
          <w:szCs w:val="24"/>
          <w:lang w:val="en-GB"/>
        </w:rPr>
        <w:t xml:space="preserve">on the vertical axis and the negative of the relative extended Gini index </w:t>
      </w:r>
      <w:r w:rsidR="00767D99">
        <w:rPr>
          <w:rFonts w:ascii="Times New Roman" w:eastAsia="Calibri" w:hAnsi="Times New Roman" w:cs="Times New Roman"/>
          <w:sz w:val="24"/>
          <w:szCs w:val="24"/>
          <w:lang w:val="en-GB"/>
        </w:rPr>
        <w:t xml:space="preserve">of inequality in HALE </w:t>
      </w:r>
      <w:r w:rsidR="00F42EB1">
        <w:rPr>
          <w:rFonts w:ascii="Times New Roman" w:eastAsia="Calibri" w:hAnsi="Times New Roman" w:cs="Times New Roman"/>
          <w:sz w:val="24"/>
          <w:szCs w:val="24"/>
          <w:lang w:val="en-GB"/>
        </w:rPr>
        <w:t>on the horizontal axis (auxiliary calculations in Table 5)</w:t>
      </w:r>
      <w:r w:rsidR="00926946">
        <w:rPr>
          <w:rFonts w:ascii="Times New Roman" w:eastAsia="Calibri" w:hAnsi="Times New Roman" w:cs="Times New Roman"/>
          <w:sz w:val="24"/>
          <w:szCs w:val="24"/>
          <w:lang w:val="en-GB"/>
        </w:rPr>
        <w:t xml:space="preserve">. </w:t>
      </w:r>
      <w:r w:rsidR="005534C6">
        <w:rPr>
          <w:rFonts w:ascii="Times New Roman" w:eastAsia="Calibri" w:hAnsi="Times New Roman" w:cs="Times New Roman"/>
          <w:sz w:val="24"/>
          <w:szCs w:val="24"/>
          <w:lang w:val="en-GB"/>
        </w:rPr>
        <w:t xml:space="preserve"> </w:t>
      </w:r>
      <w:r w:rsidR="00926946">
        <w:rPr>
          <w:rFonts w:ascii="Times New Roman" w:eastAsia="Calibri" w:hAnsi="Times New Roman" w:cs="Times New Roman"/>
          <w:sz w:val="24"/>
          <w:szCs w:val="24"/>
          <w:lang w:val="en-GB"/>
        </w:rPr>
        <w:t xml:space="preserve">This is done </w:t>
      </w:r>
      <w:r w:rsidR="00F42EB1" w:rsidRPr="009058FD">
        <w:rPr>
          <w:rFonts w:ascii="Times New Roman" w:eastAsia="Calibri" w:hAnsi="Times New Roman" w:cs="Times New Roman"/>
          <w:sz w:val="24"/>
          <w:szCs w:val="24"/>
          <w:lang w:val="en-GB"/>
        </w:rPr>
        <w:t>separately</w:t>
      </w:r>
      <w:r w:rsidR="00F42EB1">
        <w:rPr>
          <w:rFonts w:ascii="Times New Roman" w:eastAsia="Calibri" w:hAnsi="Times New Roman" w:cs="Times New Roman"/>
          <w:sz w:val="24"/>
          <w:szCs w:val="24"/>
          <w:lang w:val="en-GB"/>
        </w:rPr>
        <w:t xml:space="preserve"> </w:t>
      </w:r>
      <w:r w:rsidR="00F42EB1" w:rsidRPr="009058FD">
        <w:rPr>
          <w:rFonts w:ascii="Times New Roman" w:eastAsia="Calibri" w:hAnsi="Times New Roman" w:cs="Times New Roman"/>
          <w:sz w:val="24"/>
          <w:szCs w:val="24"/>
          <w:lang w:val="en-GB"/>
        </w:rPr>
        <w:t xml:space="preserve">for </w:t>
      </w:r>
      <m:oMath>
        <m:r>
          <w:rPr>
            <w:rFonts w:ascii="Cambria Math" w:eastAsia="Calibri" w:hAnsi="Cambria Math" w:cs="Times New Roman"/>
            <w:sz w:val="24"/>
            <w:szCs w:val="24"/>
            <w:lang w:val="en-GB"/>
          </w:rPr>
          <m:t>η</m:t>
        </m:r>
      </m:oMath>
      <w:r w:rsidR="00F42EB1" w:rsidRPr="009058FD">
        <w:rPr>
          <w:rFonts w:ascii="Times New Roman" w:eastAsia="Times New Roman" w:hAnsi="Times New Roman" w:cs="Times New Roman"/>
          <w:sz w:val="24"/>
          <w:szCs w:val="24"/>
          <w:lang w:val="en-GB"/>
        </w:rPr>
        <w:t xml:space="preserve"> equalling 1, 1.2, 2 and 3</w:t>
      </w:r>
      <w:r w:rsidR="00F42EB1" w:rsidRPr="009058FD">
        <w:rPr>
          <w:rFonts w:ascii="Times New Roman" w:eastAsia="Calibri" w:hAnsi="Times New Roman" w:cs="Times New Roman"/>
          <w:sz w:val="24"/>
          <w:szCs w:val="24"/>
          <w:lang w:val="en-GB"/>
        </w:rPr>
        <w:t xml:space="preserve">. </w:t>
      </w:r>
      <w:r w:rsidR="00F42EB1">
        <w:rPr>
          <w:rFonts w:ascii="Times New Roman" w:eastAsia="Calibri" w:hAnsi="Times New Roman" w:cs="Times New Roman"/>
          <w:sz w:val="24"/>
          <w:szCs w:val="24"/>
          <w:lang w:val="en-GB"/>
        </w:rPr>
        <w:t xml:space="preserve">Additionally an indifference curve </w:t>
      </w:r>
      <w:r w:rsidR="00926946">
        <w:rPr>
          <w:rFonts w:ascii="Times New Roman" w:eastAsia="Calibri" w:hAnsi="Times New Roman" w:cs="Times New Roman"/>
          <w:sz w:val="24"/>
          <w:szCs w:val="24"/>
          <w:lang w:val="en-GB"/>
        </w:rPr>
        <w:t xml:space="preserve">is added, </w:t>
      </w:r>
      <w:r w:rsidR="00F42EB1">
        <w:rPr>
          <w:rFonts w:ascii="Times New Roman" w:eastAsia="Calibri" w:hAnsi="Times New Roman" w:cs="Times New Roman"/>
          <w:sz w:val="24"/>
          <w:szCs w:val="24"/>
          <w:lang w:val="en-GB"/>
        </w:rPr>
        <w:t>indicatin</w:t>
      </w:r>
      <w:r w:rsidR="00926946">
        <w:rPr>
          <w:rFonts w:ascii="Times New Roman" w:eastAsia="Calibri" w:hAnsi="Times New Roman" w:cs="Times New Roman"/>
          <w:sz w:val="24"/>
          <w:szCs w:val="24"/>
          <w:lang w:val="en-GB"/>
        </w:rPr>
        <w:t>g</w:t>
      </w:r>
      <w:r w:rsidR="00F42EB1">
        <w:rPr>
          <w:rFonts w:ascii="Times New Roman" w:eastAsia="Calibri" w:hAnsi="Times New Roman" w:cs="Times New Roman"/>
          <w:sz w:val="24"/>
          <w:szCs w:val="24"/>
          <w:lang w:val="en-GB"/>
        </w:rPr>
        <w:t xml:space="preserve"> all combinations of average health and relative inequality that would leave the decision maker indifferent </w:t>
      </w:r>
      <w:r w:rsidR="00926946">
        <w:rPr>
          <w:rFonts w:ascii="Times New Roman" w:eastAsia="Calibri" w:hAnsi="Times New Roman" w:cs="Times New Roman"/>
          <w:sz w:val="24"/>
          <w:szCs w:val="24"/>
          <w:lang w:val="en-GB"/>
        </w:rPr>
        <w:t xml:space="preserve">to option </w:t>
      </w:r>
      <w:r w:rsidR="00F42EB1">
        <w:rPr>
          <w:rFonts w:ascii="Times New Roman" w:eastAsia="Calibri" w:hAnsi="Times New Roman" w:cs="Times New Roman"/>
          <w:sz w:val="24"/>
          <w:szCs w:val="24"/>
          <w:lang w:val="en-GB"/>
        </w:rPr>
        <w:t>2.</w:t>
      </w:r>
      <w:r w:rsidR="005534C6">
        <w:rPr>
          <w:rFonts w:ascii="Times New Roman" w:eastAsia="Calibri" w:hAnsi="Times New Roman" w:cs="Times New Roman"/>
          <w:sz w:val="24"/>
          <w:szCs w:val="24"/>
          <w:lang w:val="en-GB"/>
        </w:rPr>
        <w:t xml:space="preserve">  Consider: how would things differ if we were to </w:t>
      </w:r>
      <w:r w:rsidR="007A24FA">
        <w:rPr>
          <w:rFonts w:ascii="Times New Roman" w:eastAsia="Calibri" w:hAnsi="Times New Roman" w:cs="Times New Roman"/>
          <w:sz w:val="24"/>
          <w:szCs w:val="24"/>
          <w:lang w:val="en-GB"/>
        </w:rPr>
        <w:t xml:space="preserve">turn this into an equity-efficiency </w:t>
      </w:r>
      <w:r w:rsidR="007A24FA" w:rsidRPr="007A24FA">
        <w:rPr>
          <w:rFonts w:ascii="Times New Roman" w:eastAsia="Calibri" w:hAnsi="Times New Roman" w:cs="Times New Roman"/>
          <w:i/>
          <w:sz w:val="24"/>
          <w:szCs w:val="24"/>
          <w:lang w:val="en-GB"/>
        </w:rPr>
        <w:t>impact</w:t>
      </w:r>
      <w:r w:rsidR="007A24FA">
        <w:rPr>
          <w:rFonts w:ascii="Times New Roman" w:eastAsia="Calibri" w:hAnsi="Times New Roman" w:cs="Times New Roman"/>
          <w:sz w:val="24"/>
          <w:szCs w:val="24"/>
          <w:lang w:val="en-GB"/>
        </w:rPr>
        <w:t xml:space="preserve"> plane based on incremental comparisons between the options rather than levels of average health and health inequality?</w:t>
      </w:r>
      <w:r w:rsidR="00AB3134">
        <w:rPr>
          <w:rFonts w:ascii="Times New Roman" w:eastAsia="Calibri" w:hAnsi="Times New Roman" w:cs="Times New Roman"/>
          <w:sz w:val="24"/>
          <w:szCs w:val="24"/>
          <w:lang w:val="en-GB"/>
        </w:rPr>
        <w:t xml:space="preserve"> </w:t>
      </w:r>
      <w:r w:rsidR="00767D99">
        <w:rPr>
          <w:rFonts w:ascii="Times New Roman" w:eastAsia="Calibri" w:hAnsi="Times New Roman" w:cs="Times New Roman"/>
          <w:sz w:val="24"/>
          <w:szCs w:val="24"/>
          <w:lang w:val="en-GB"/>
        </w:rPr>
        <w:t>H</w:t>
      </w:r>
      <w:r w:rsidR="00AB3134">
        <w:rPr>
          <w:rFonts w:ascii="Times New Roman" w:eastAsia="Calibri" w:hAnsi="Times New Roman" w:cs="Times New Roman"/>
          <w:sz w:val="24"/>
          <w:szCs w:val="24"/>
          <w:lang w:val="en-GB"/>
        </w:rPr>
        <w:t xml:space="preserve">ow </w:t>
      </w:r>
      <w:r w:rsidR="00767D99">
        <w:rPr>
          <w:rFonts w:ascii="Times New Roman" w:eastAsia="Calibri" w:hAnsi="Times New Roman" w:cs="Times New Roman"/>
          <w:sz w:val="24"/>
          <w:szCs w:val="24"/>
          <w:lang w:val="en-GB"/>
        </w:rPr>
        <w:t xml:space="preserve">would </w:t>
      </w:r>
      <w:r w:rsidR="00AB3134">
        <w:rPr>
          <w:rFonts w:ascii="Times New Roman" w:eastAsia="Calibri" w:hAnsi="Times New Roman" w:cs="Times New Roman"/>
          <w:sz w:val="24"/>
          <w:szCs w:val="24"/>
          <w:lang w:val="en-GB"/>
        </w:rPr>
        <w:t>the indifference curve change?</w:t>
      </w:r>
      <w:r w:rsidR="00CB4B50">
        <w:rPr>
          <w:rFonts w:ascii="Times New Roman" w:eastAsia="Calibri" w:hAnsi="Times New Roman" w:cs="Times New Roman"/>
          <w:sz w:val="24"/>
          <w:szCs w:val="24"/>
          <w:lang w:val="en-GB"/>
        </w:rPr>
        <w:t xml:space="preserve"> And how </w:t>
      </w:r>
      <w:r w:rsidR="00767D99">
        <w:rPr>
          <w:rFonts w:ascii="Times New Roman" w:eastAsia="Calibri" w:hAnsi="Times New Roman" w:cs="Times New Roman"/>
          <w:sz w:val="24"/>
          <w:szCs w:val="24"/>
          <w:lang w:val="en-GB"/>
        </w:rPr>
        <w:t xml:space="preserve">would </w:t>
      </w:r>
      <w:r w:rsidR="00CB4B50">
        <w:rPr>
          <w:rFonts w:ascii="Times New Roman" w:eastAsia="Calibri" w:hAnsi="Times New Roman" w:cs="Times New Roman"/>
          <w:sz w:val="24"/>
          <w:szCs w:val="24"/>
          <w:lang w:val="en-GB"/>
        </w:rPr>
        <w:t>the axes change?</w:t>
      </w:r>
      <w:r w:rsidR="007A24FA">
        <w:rPr>
          <w:rFonts w:ascii="Times New Roman" w:eastAsia="Calibri" w:hAnsi="Times New Roman" w:cs="Times New Roman"/>
          <w:sz w:val="24"/>
          <w:szCs w:val="24"/>
          <w:lang w:val="en-GB"/>
        </w:rPr>
        <w:t xml:space="preserve">  </w:t>
      </w:r>
      <w:r w:rsidR="0058573B">
        <w:rPr>
          <w:rFonts w:ascii="Times New Roman" w:eastAsia="Calibri" w:hAnsi="Times New Roman" w:cs="Times New Roman"/>
          <w:sz w:val="24"/>
          <w:szCs w:val="24"/>
          <w:lang w:val="en-GB"/>
        </w:rPr>
        <w:t>(Hint: it would depend on which option we took as the baseline for making incremental comparisons).</w:t>
      </w:r>
    </w:p>
    <w:p w14:paraId="6D28397C" w14:textId="1F509D43" w:rsidR="00F42EB1" w:rsidRPr="00F42EB1" w:rsidRDefault="00F42EB1" w:rsidP="006D012E">
      <w:pPr>
        <w:spacing w:line="360" w:lineRule="auto"/>
        <w:ind w:left="720" w:hanging="72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iv.</w:t>
      </w:r>
      <w:r>
        <w:rPr>
          <w:rFonts w:ascii="Times New Roman" w:eastAsia="Calibri" w:hAnsi="Times New Roman" w:cs="Times New Roman"/>
          <w:sz w:val="24"/>
          <w:szCs w:val="24"/>
          <w:lang w:val="en-GB"/>
        </w:rPr>
        <w:tab/>
        <w:t>F</w:t>
      </w:r>
      <w:r w:rsidRPr="009058FD">
        <w:rPr>
          <w:rFonts w:ascii="Times New Roman" w:eastAsia="Calibri" w:hAnsi="Times New Roman" w:cs="Times New Roman"/>
          <w:sz w:val="24"/>
          <w:szCs w:val="24"/>
          <w:lang w:val="en-GB"/>
        </w:rPr>
        <w:t xml:space="preserve">igure 3a shows </w:t>
      </w:r>
      <w:r>
        <w:rPr>
          <w:rFonts w:ascii="Times New Roman" w:eastAsia="Calibri" w:hAnsi="Times New Roman" w:cs="Times New Roman"/>
          <w:sz w:val="24"/>
          <w:szCs w:val="24"/>
          <w:lang w:val="en-GB"/>
        </w:rPr>
        <w:t>the</w:t>
      </w:r>
      <w:r w:rsidRPr="009058FD">
        <w:rPr>
          <w:rFonts w:ascii="Times New Roman" w:eastAsia="Calibri" w:hAnsi="Times New Roman" w:cs="Times New Roman"/>
          <w:sz w:val="24"/>
          <w:szCs w:val="24"/>
          <w:lang w:val="en-GB"/>
        </w:rPr>
        <w:t xml:space="preserve"> equity</w:t>
      </w:r>
      <w:r w:rsidR="005534C6">
        <w:rPr>
          <w:rFonts w:ascii="Times New Roman" w:eastAsia="Calibri" w:hAnsi="Times New Roman" w:cs="Times New Roman"/>
          <w:sz w:val="24"/>
          <w:szCs w:val="24"/>
          <w:lang w:val="en-GB"/>
        </w:rPr>
        <w:t>-efficiency</w:t>
      </w:r>
      <w:r w:rsidRPr="009058FD">
        <w:rPr>
          <w:rFonts w:ascii="Times New Roman" w:eastAsia="Calibri" w:hAnsi="Times New Roman" w:cs="Times New Roman"/>
          <w:sz w:val="24"/>
          <w:szCs w:val="24"/>
          <w:lang w:val="en-GB"/>
        </w:rPr>
        <w:t xml:space="preserve"> plane for </w:t>
      </w:r>
      <m:oMath>
        <m:r>
          <w:rPr>
            <w:rFonts w:ascii="Cambria Math" w:eastAsia="Calibri" w:hAnsi="Cambria Math" w:cs="Times New Roman"/>
            <w:sz w:val="24"/>
            <w:szCs w:val="24"/>
            <w:lang w:val="en-GB"/>
          </w:rPr>
          <m:t>η</m:t>
        </m:r>
      </m:oMath>
      <w:r w:rsidRPr="009058FD">
        <w:rPr>
          <w:rFonts w:ascii="Times New Roman" w:eastAsia="Times New Roman" w:hAnsi="Times New Roman" w:cs="Times New Roman"/>
          <w:sz w:val="24"/>
          <w:szCs w:val="24"/>
          <w:lang w:val="en-GB"/>
        </w:rPr>
        <w:t xml:space="preserve"> = 1</w:t>
      </w:r>
      <w:r w:rsidRPr="009058FD">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Confirm that the</w:t>
      </w:r>
      <w:r w:rsidRPr="009058FD">
        <w:rPr>
          <w:rFonts w:ascii="Times New Roman" w:eastAsia="Times New Roman" w:hAnsi="Times New Roman" w:cs="Times New Roman"/>
          <w:sz w:val="24"/>
          <w:szCs w:val="24"/>
          <w:lang w:val="en-GB"/>
        </w:rPr>
        <w:t xml:space="preserve"> indifference curve is horizontal</w:t>
      </w:r>
      <w:r>
        <w:rPr>
          <w:rFonts w:ascii="Times New Roman" w:eastAsia="Times New Roman" w:hAnsi="Times New Roman" w:cs="Times New Roman"/>
          <w:sz w:val="24"/>
          <w:szCs w:val="24"/>
          <w:lang w:val="en-GB"/>
        </w:rPr>
        <w:t xml:space="preserve"> as a</w:t>
      </w:r>
      <w:r w:rsidRPr="009058FD">
        <w:rPr>
          <w:rFonts w:ascii="Times New Roman" w:eastAsia="Times New Roman" w:hAnsi="Times New Roman" w:cs="Times New Roman"/>
          <w:sz w:val="24"/>
          <w:szCs w:val="24"/>
          <w:lang w:val="en-GB"/>
        </w:rPr>
        <w:t xml:space="preserve"> decision maker </w:t>
      </w:r>
      <w:r>
        <w:rPr>
          <w:rFonts w:ascii="Times New Roman" w:eastAsia="Times New Roman" w:hAnsi="Times New Roman" w:cs="Times New Roman"/>
          <w:sz w:val="24"/>
          <w:szCs w:val="24"/>
          <w:lang w:val="en-GB"/>
        </w:rPr>
        <w:t>with</w:t>
      </w:r>
      <w:r w:rsidRPr="009058FD">
        <w:rPr>
          <w:rFonts w:ascii="Times New Roman" w:eastAsia="Calibri" w:hAnsi="Times New Roman" w:cs="Times New Roman"/>
          <w:sz w:val="24"/>
          <w:szCs w:val="24"/>
          <w:lang w:val="en-GB"/>
        </w:rPr>
        <w:t xml:space="preserve"> </w:t>
      </w:r>
      <m:oMath>
        <m:r>
          <w:rPr>
            <w:rFonts w:ascii="Cambria Math" w:eastAsia="Calibri" w:hAnsi="Cambria Math" w:cs="Times New Roman"/>
            <w:sz w:val="24"/>
            <w:szCs w:val="24"/>
            <w:lang w:val="en-GB"/>
          </w:rPr>
          <m:t>η</m:t>
        </m:r>
      </m:oMath>
      <w:r w:rsidRPr="009058FD">
        <w:rPr>
          <w:rFonts w:ascii="Times New Roman" w:eastAsia="Times New Roman" w:hAnsi="Times New Roman" w:cs="Times New Roman"/>
          <w:sz w:val="24"/>
          <w:szCs w:val="24"/>
          <w:lang w:val="en-GB"/>
        </w:rPr>
        <w:t xml:space="preserve"> = 1 does not care about inequality and will assign highest </w:t>
      </w:r>
      <w:r>
        <w:rPr>
          <w:rFonts w:ascii="Times New Roman" w:eastAsia="Times New Roman" w:hAnsi="Times New Roman" w:cs="Times New Roman"/>
          <w:sz w:val="24"/>
          <w:szCs w:val="24"/>
          <w:lang w:val="en-GB"/>
        </w:rPr>
        <w:t xml:space="preserve">welfare </w:t>
      </w:r>
      <w:r w:rsidRPr="009058FD">
        <w:rPr>
          <w:rFonts w:ascii="Times New Roman" w:eastAsia="Times New Roman" w:hAnsi="Times New Roman" w:cs="Times New Roman"/>
          <w:sz w:val="24"/>
          <w:szCs w:val="24"/>
          <w:lang w:val="en-GB"/>
        </w:rPr>
        <w:t>to</w:t>
      </w:r>
      <w:r w:rsidR="005534C6">
        <w:rPr>
          <w:rFonts w:ascii="Times New Roman" w:eastAsia="Times New Roman" w:hAnsi="Times New Roman" w:cs="Times New Roman"/>
          <w:sz w:val="24"/>
          <w:szCs w:val="24"/>
          <w:lang w:val="en-GB"/>
        </w:rPr>
        <w:t xml:space="preserve"> option</w:t>
      </w:r>
      <w:r>
        <w:rPr>
          <w:rFonts w:ascii="Times New Roman" w:eastAsia="Times New Roman" w:hAnsi="Times New Roman" w:cs="Times New Roman"/>
          <w:sz w:val="24"/>
          <w:szCs w:val="24"/>
          <w:lang w:val="en-GB"/>
        </w:rPr>
        <w:t xml:space="preserve"> </w:t>
      </w:r>
      <w:r w:rsidRPr="009058FD">
        <w:rPr>
          <w:rFonts w:ascii="Times New Roman" w:eastAsia="Times New Roman" w:hAnsi="Times New Roman" w:cs="Times New Roman"/>
          <w:sz w:val="24"/>
          <w:szCs w:val="24"/>
          <w:lang w:val="en-GB"/>
        </w:rPr>
        <w:t xml:space="preserve">2 </w:t>
      </w:r>
      <w:proofErr w:type="gramStart"/>
      <w:r w:rsidRPr="009058FD">
        <w:rPr>
          <w:rFonts w:ascii="Times New Roman" w:eastAsia="Times New Roman" w:hAnsi="Times New Roman" w:cs="Times New Roman"/>
          <w:sz w:val="24"/>
          <w:szCs w:val="24"/>
          <w:lang w:val="en-GB"/>
        </w:rPr>
        <w:t>independent</w:t>
      </w:r>
      <w:proofErr w:type="gramEnd"/>
      <w:r w:rsidRPr="009058FD">
        <w:rPr>
          <w:rFonts w:ascii="Times New Roman" w:eastAsia="Times New Roman" w:hAnsi="Times New Roman" w:cs="Times New Roman"/>
          <w:sz w:val="24"/>
          <w:szCs w:val="24"/>
          <w:lang w:val="en-GB"/>
        </w:rPr>
        <w:t xml:space="preserve"> of the level of inequality. </w:t>
      </w:r>
    </w:p>
    <w:p w14:paraId="3B324D52" w14:textId="72ADC8E9" w:rsidR="00F42EB1" w:rsidRPr="009058FD" w:rsidRDefault="00F42EB1" w:rsidP="002A35B1">
      <w:pPr>
        <w:spacing w:line="360" w:lineRule="auto"/>
        <w:ind w:left="720" w:hanging="720"/>
        <w:jc w:val="both"/>
        <w:rPr>
          <w:rFonts w:ascii="Times New Roman" w:eastAsia="Calibri" w:hAnsi="Times New Roman" w:cs="Times New Roman"/>
          <w:sz w:val="24"/>
          <w:szCs w:val="24"/>
          <w:lang w:val="en-GB"/>
        </w:rPr>
      </w:pPr>
      <w:r>
        <w:rPr>
          <w:rFonts w:ascii="Times New Roman" w:eastAsia="Times New Roman" w:hAnsi="Times New Roman" w:cs="Times New Roman"/>
          <w:sz w:val="24"/>
          <w:szCs w:val="24"/>
          <w:lang w:val="en-GB"/>
        </w:rPr>
        <w:t>v.</w:t>
      </w:r>
      <w:r>
        <w:rPr>
          <w:rFonts w:ascii="Times New Roman" w:eastAsia="Times New Roman" w:hAnsi="Times New Roman" w:cs="Times New Roman"/>
          <w:sz w:val="24"/>
          <w:szCs w:val="24"/>
          <w:lang w:val="en-GB"/>
        </w:rPr>
        <w:tab/>
      </w:r>
      <w:r w:rsidRPr="009058FD">
        <w:rPr>
          <w:rFonts w:ascii="Times New Roman" w:eastAsia="Times New Roman" w:hAnsi="Times New Roman" w:cs="Times New Roman"/>
          <w:sz w:val="24"/>
          <w:szCs w:val="24"/>
          <w:lang w:val="en-GB"/>
        </w:rPr>
        <w:t>Figure</w:t>
      </w:r>
      <w:r>
        <w:rPr>
          <w:rFonts w:ascii="Times New Roman" w:eastAsia="Times New Roman" w:hAnsi="Times New Roman" w:cs="Times New Roman"/>
          <w:sz w:val="24"/>
          <w:szCs w:val="24"/>
          <w:lang w:val="en-GB"/>
        </w:rPr>
        <w:t>s</w:t>
      </w:r>
      <w:r w:rsidRPr="009058FD">
        <w:rPr>
          <w:rFonts w:ascii="Times New Roman" w:eastAsia="Times New Roman" w:hAnsi="Times New Roman" w:cs="Times New Roman"/>
          <w:sz w:val="24"/>
          <w:szCs w:val="24"/>
          <w:lang w:val="en-GB"/>
        </w:rPr>
        <w:t xml:space="preserve"> 3b-d show similar equity</w:t>
      </w:r>
      <w:r w:rsidR="005534C6">
        <w:rPr>
          <w:rFonts w:ascii="Times New Roman" w:eastAsia="Times New Roman" w:hAnsi="Times New Roman" w:cs="Times New Roman"/>
          <w:sz w:val="24"/>
          <w:szCs w:val="24"/>
          <w:lang w:val="en-GB"/>
        </w:rPr>
        <w:t>-efficiency</w:t>
      </w:r>
      <w:r w:rsidRPr="009058FD">
        <w:rPr>
          <w:rFonts w:ascii="Times New Roman" w:eastAsia="Times New Roman" w:hAnsi="Times New Roman" w:cs="Times New Roman"/>
          <w:sz w:val="24"/>
          <w:szCs w:val="24"/>
          <w:lang w:val="en-GB"/>
        </w:rPr>
        <w:t xml:space="preserve"> planes for respectively </w:t>
      </w:r>
      <m:oMath>
        <m:r>
          <w:rPr>
            <w:rFonts w:ascii="Cambria Math" w:eastAsia="Calibri" w:hAnsi="Cambria Math" w:cs="Times New Roman"/>
            <w:sz w:val="24"/>
            <w:szCs w:val="24"/>
            <w:lang w:val="en-GB"/>
          </w:rPr>
          <m:t>η</m:t>
        </m:r>
      </m:oMath>
      <w:r w:rsidRPr="009058FD">
        <w:rPr>
          <w:rFonts w:ascii="Times New Roman" w:eastAsia="Times New Roman" w:hAnsi="Times New Roman" w:cs="Times New Roman"/>
          <w:sz w:val="24"/>
          <w:szCs w:val="24"/>
          <w:lang w:val="en-GB"/>
        </w:rPr>
        <w:t xml:space="preserve"> = 1</w:t>
      </w:r>
      <w:r>
        <w:rPr>
          <w:rFonts w:ascii="Times New Roman" w:eastAsia="Times New Roman" w:hAnsi="Times New Roman" w:cs="Times New Roman"/>
          <w:sz w:val="24"/>
          <w:szCs w:val="24"/>
          <w:lang w:val="en-GB"/>
        </w:rPr>
        <w:t>.</w:t>
      </w:r>
      <w:r w:rsidRPr="009058FD">
        <w:rPr>
          <w:rFonts w:ascii="Times New Roman" w:eastAsia="Times New Roman" w:hAnsi="Times New Roman" w:cs="Times New Roman"/>
          <w:sz w:val="24"/>
          <w:szCs w:val="24"/>
          <w:lang w:val="en-GB"/>
        </w:rPr>
        <w:t xml:space="preserve">2, 2 and 3. </w:t>
      </w:r>
      <w:r>
        <w:rPr>
          <w:rFonts w:ascii="Times New Roman" w:eastAsia="Times New Roman" w:hAnsi="Times New Roman" w:cs="Times New Roman"/>
          <w:sz w:val="24"/>
          <w:szCs w:val="24"/>
          <w:lang w:val="en-GB"/>
        </w:rPr>
        <w:t xml:space="preserve">Confirm </w:t>
      </w:r>
      <w:r w:rsidRPr="009058FD">
        <w:rPr>
          <w:rFonts w:ascii="Times New Roman" w:eastAsia="Times New Roman" w:hAnsi="Times New Roman" w:cs="Times New Roman"/>
          <w:sz w:val="24"/>
          <w:szCs w:val="24"/>
          <w:lang w:val="en-GB"/>
        </w:rPr>
        <w:t xml:space="preserve">that the indifference curves become more negatively inclined for higher values of </w:t>
      </w:r>
      <m:oMath>
        <m:r>
          <w:rPr>
            <w:rFonts w:ascii="Cambria Math" w:eastAsia="Calibri" w:hAnsi="Cambria Math" w:cs="Times New Roman"/>
            <w:sz w:val="24"/>
            <w:szCs w:val="24"/>
            <w:lang w:val="en-GB"/>
          </w:rPr>
          <m:t>η</m:t>
        </m:r>
      </m:oMath>
      <w:r w:rsidRPr="009058FD">
        <w:rPr>
          <w:rFonts w:ascii="Times New Roman" w:eastAsia="Times New Roman" w:hAnsi="Times New Roman" w:cs="Times New Roman"/>
          <w:sz w:val="24"/>
          <w:szCs w:val="24"/>
          <w:lang w:val="en-GB"/>
        </w:rPr>
        <w:t xml:space="preserve"> as these corresponds to higher levels of inequality aversion</w:t>
      </w:r>
      <w:r>
        <w:rPr>
          <w:rFonts w:ascii="Times New Roman" w:eastAsia="Times New Roman" w:hAnsi="Times New Roman" w:cs="Times New Roman"/>
          <w:sz w:val="24"/>
          <w:szCs w:val="24"/>
          <w:lang w:val="en-GB"/>
        </w:rPr>
        <w:t>, but also that the value of the relative extended Gini (horizontal axis) changes</w:t>
      </w:r>
      <w:r w:rsidRPr="009058FD">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 xml:space="preserve">Note further than </w:t>
      </w:r>
      <w:r w:rsidRPr="009058FD">
        <w:rPr>
          <w:rFonts w:ascii="Times New Roman" w:eastAsia="Times New Roman" w:hAnsi="Times New Roman" w:cs="Times New Roman"/>
          <w:sz w:val="24"/>
          <w:szCs w:val="24"/>
          <w:lang w:val="en-GB"/>
        </w:rPr>
        <w:t xml:space="preserve">the ranking of HALE 2 and 3 in terms of EDEH switches around </w:t>
      </w:r>
      <m:oMath>
        <m:r>
          <w:rPr>
            <w:rFonts w:ascii="Cambria Math" w:eastAsia="Calibri" w:hAnsi="Cambria Math" w:cs="Times New Roman"/>
            <w:sz w:val="24"/>
            <w:szCs w:val="24"/>
            <w:lang w:val="en-GB"/>
          </w:rPr>
          <m:t>η</m:t>
        </m:r>
      </m:oMath>
      <w:r>
        <w:rPr>
          <w:rFonts w:ascii="Times New Roman" w:eastAsia="Times New Roman" w:hAnsi="Times New Roman" w:cs="Times New Roman"/>
          <w:sz w:val="24"/>
          <w:szCs w:val="24"/>
          <w:lang w:val="en-GB"/>
        </w:rPr>
        <w:t xml:space="preserve"> = 1.</w:t>
      </w:r>
      <w:r w:rsidRPr="009058FD">
        <w:rPr>
          <w:rFonts w:ascii="Times New Roman" w:eastAsia="Times New Roman" w:hAnsi="Times New Roman" w:cs="Times New Roman"/>
          <w:sz w:val="24"/>
          <w:szCs w:val="24"/>
          <w:lang w:val="en-GB"/>
        </w:rPr>
        <w:t>3.</w:t>
      </w:r>
    </w:p>
    <w:p w14:paraId="6FB945A5" w14:textId="77777777" w:rsidR="0058573B" w:rsidRDefault="0058573B">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3233B1EC" w14:textId="4B7F5A55" w:rsidR="00613428" w:rsidRDefault="00613428" w:rsidP="00424C9E">
      <w:pPr>
        <w:spacing w:line="360" w:lineRule="auto"/>
        <w:jc w:val="both"/>
        <w:rPr>
          <w:rFonts w:ascii="Times New Roman" w:eastAsia="Calibri" w:hAnsi="Times New Roman" w:cs="Times New Roman"/>
          <w:b/>
          <w:sz w:val="24"/>
          <w:szCs w:val="24"/>
        </w:rPr>
      </w:pPr>
      <w:r w:rsidRPr="00613428">
        <w:rPr>
          <w:rFonts w:ascii="Times New Roman" w:eastAsia="Calibri" w:hAnsi="Times New Roman" w:cs="Times New Roman"/>
          <w:b/>
          <w:sz w:val="24"/>
          <w:szCs w:val="24"/>
        </w:rPr>
        <w:lastRenderedPageBreak/>
        <w:t>Optional exercises on EDIEH and socioeconomic-related ine</w:t>
      </w:r>
      <w:r>
        <w:rPr>
          <w:rFonts w:ascii="Times New Roman" w:eastAsia="Calibri" w:hAnsi="Times New Roman" w:cs="Times New Roman"/>
          <w:b/>
          <w:sz w:val="24"/>
          <w:szCs w:val="24"/>
        </w:rPr>
        <w:t>quality</w:t>
      </w:r>
    </w:p>
    <w:p w14:paraId="3BC3E215" w14:textId="7FFCAE77" w:rsidR="00A50A84" w:rsidRDefault="00B875E1" w:rsidP="00424C9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These exercises use the distribution of each </w:t>
      </w:r>
      <w:proofErr w:type="spellStart"/>
      <w:r w:rsidR="00FD181E">
        <w:rPr>
          <w:rFonts w:ascii="Times New Roman" w:eastAsia="Calibri" w:hAnsi="Times New Roman" w:cs="Times New Roman"/>
          <w:sz w:val="24"/>
          <w:szCs w:val="24"/>
        </w:rPr>
        <w:t>programme</w:t>
      </w:r>
      <w:proofErr w:type="spellEnd"/>
      <w:r w:rsidR="00FD181E">
        <w:rPr>
          <w:rFonts w:ascii="Times New Roman" w:eastAsia="Calibri" w:hAnsi="Times New Roman" w:cs="Times New Roman"/>
          <w:sz w:val="24"/>
          <w:szCs w:val="24"/>
        </w:rPr>
        <w:t xml:space="preserve"> </w:t>
      </w:r>
      <w:r w:rsidR="007A24FA">
        <w:rPr>
          <w:rFonts w:ascii="Times New Roman" w:eastAsia="Calibri" w:hAnsi="Times New Roman" w:cs="Times New Roman"/>
          <w:sz w:val="24"/>
          <w:szCs w:val="24"/>
        </w:rPr>
        <w:t xml:space="preserve">option </w:t>
      </w:r>
      <w:r>
        <w:rPr>
          <w:rFonts w:ascii="Times New Roman" w:eastAsia="Calibri" w:hAnsi="Times New Roman" w:cs="Times New Roman"/>
          <w:sz w:val="24"/>
          <w:szCs w:val="24"/>
        </w:rPr>
        <w:t xml:space="preserve">broken down </w:t>
      </w:r>
      <w:r w:rsidR="007A24FA">
        <w:rPr>
          <w:rFonts w:ascii="Times New Roman" w:eastAsia="Calibri" w:hAnsi="Times New Roman" w:cs="Times New Roman"/>
          <w:sz w:val="24"/>
          <w:szCs w:val="24"/>
        </w:rPr>
        <w:t>by</w:t>
      </w:r>
      <w:r>
        <w:rPr>
          <w:rFonts w:ascii="Times New Roman" w:eastAsia="Calibri" w:hAnsi="Times New Roman" w:cs="Times New Roman"/>
          <w:sz w:val="24"/>
          <w:szCs w:val="24"/>
        </w:rPr>
        <w:t xml:space="preserve"> five socioeconomic groups of the English population</w:t>
      </w:r>
      <w:r w:rsidR="00A50A84">
        <w:rPr>
          <w:rFonts w:ascii="Times New Roman" w:eastAsia="Calibri" w:hAnsi="Times New Roman" w:cs="Times New Roman"/>
          <w:sz w:val="24"/>
          <w:szCs w:val="24"/>
        </w:rPr>
        <w:t xml:space="preserve"> (and thus neglecting North-South differences)</w:t>
      </w:r>
      <w:r w:rsidR="00165D91">
        <w:rPr>
          <w:rFonts w:ascii="Times New Roman" w:eastAsia="Calibri" w:hAnsi="Times New Roman" w:cs="Times New Roman"/>
          <w:sz w:val="24"/>
          <w:szCs w:val="24"/>
        </w:rPr>
        <w:t xml:space="preserve"> allowing for aversion to socioeconomic-related health inequality</w:t>
      </w:r>
      <w:r>
        <w:rPr>
          <w:rFonts w:ascii="Times New Roman" w:eastAsia="Calibri" w:hAnsi="Times New Roman" w:cs="Times New Roman"/>
          <w:sz w:val="24"/>
          <w:szCs w:val="24"/>
        </w:rPr>
        <w:t>.</w:t>
      </w:r>
    </w:p>
    <w:p w14:paraId="308C4621" w14:textId="2A01F969" w:rsidR="004007D2" w:rsidRDefault="004007D2" w:rsidP="00424C9E">
      <w:pPr>
        <w:spacing w:line="360" w:lineRule="auto"/>
        <w:jc w:val="both"/>
        <w:rPr>
          <w:rFonts w:ascii="Times New Roman" w:eastAsia="Calibri" w:hAnsi="Times New Roman" w:cs="Times New Roman"/>
          <w:i/>
          <w:sz w:val="24"/>
          <w:szCs w:val="24"/>
          <w:lang w:val="en-GB"/>
        </w:rPr>
      </w:pPr>
      <w:r w:rsidRPr="004007D2">
        <w:rPr>
          <w:rFonts w:ascii="Times New Roman" w:eastAsia="Calibri" w:hAnsi="Times New Roman" w:cs="Times New Roman"/>
          <w:i/>
          <w:sz w:val="24"/>
          <w:szCs w:val="24"/>
          <w:lang w:val="en-GB"/>
        </w:rPr>
        <w:t>Calculating ED</w:t>
      </w:r>
      <w:r>
        <w:rPr>
          <w:rFonts w:ascii="Times New Roman" w:eastAsia="Calibri" w:hAnsi="Times New Roman" w:cs="Times New Roman"/>
          <w:i/>
          <w:sz w:val="24"/>
          <w:szCs w:val="24"/>
          <w:lang w:val="en-GB"/>
        </w:rPr>
        <w:t>I</w:t>
      </w:r>
      <w:r w:rsidRPr="004007D2">
        <w:rPr>
          <w:rFonts w:ascii="Times New Roman" w:eastAsia="Calibri" w:hAnsi="Times New Roman" w:cs="Times New Roman"/>
          <w:i/>
          <w:sz w:val="24"/>
          <w:szCs w:val="24"/>
          <w:lang w:val="en-GB"/>
        </w:rPr>
        <w:t xml:space="preserve">EH, and </w:t>
      </w:r>
      <w:r>
        <w:rPr>
          <w:rFonts w:ascii="Times New Roman" w:eastAsia="Calibri" w:hAnsi="Times New Roman" w:cs="Times New Roman"/>
          <w:i/>
          <w:sz w:val="24"/>
          <w:szCs w:val="24"/>
          <w:lang w:val="en-GB"/>
        </w:rPr>
        <w:t xml:space="preserve">socioeconomic-related </w:t>
      </w:r>
      <w:r w:rsidRPr="004007D2">
        <w:rPr>
          <w:rFonts w:ascii="Times New Roman" w:eastAsia="Calibri" w:hAnsi="Times New Roman" w:cs="Times New Roman"/>
          <w:i/>
          <w:sz w:val="24"/>
          <w:szCs w:val="24"/>
          <w:lang w:val="en-GB"/>
        </w:rPr>
        <w:t>(relative) absolute inequalities</w:t>
      </w:r>
    </w:p>
    <w:p w14:paraId="7AE5C523" w14:textId="77777777" w:rsidR="002C3E95" w:rsidRDefault="0044385C" w:rsidP="00424C9E">
      <w:pPr>
        <w:spacing w:line="360" w:lineRule="auto"/>
        <w:jc w:val="both"/>
        <w:rPr>
          <w:rFonts w:ascii="Times New Roman" w:eastAsia="Calibri" w:hAnsi="Times New Roman" w:cs="Times New Roman"/>
          <w:sz w:val="24"/>
          <w:szCs w:val="24"/>
          <w:lang w:val="en-GB"/>
        </w:rPr>
      </w:pPr>
      <w:r w:rsidRPr="009058FD">
        <w:rPr>
          <w:rFonts w:ascii="Times New Roman" w:eastAsia="Calibri" w:hAnsi="Times New Roman" w:cs="Times New Roman"/>
          <w:sz w:val="24"/>
          <w:szCs w:val="24"/>
          <w:lang w:val="en-GB"/>
        </w:rPr>
        <w:t>Select the</w:t>
      </w:r>
      <w:r w:rsidR="002C3E95">
        <w:rPr>
          <w:rFonts w:ascii="Times New Roman" w:eastAsia="Calibri" w:hAnsi="Times New Roman" w:cs="Times New Roman"/>
          <w:sz w:val="24"/>
          <w:szCs w:val="24"/>
          <w:lang w:val="en-GB"/>
        </w:rPr>
        <w:t xml:space="preserve"> &lt;Calculation &amp; EDIEH</w:t>
      </w:r>
      <w:r w:rsidRPr="009058FD">
        <w:rPr>
          <w:rFonts w:ascii="Times New Roman" w:eastAsia="Calibri" w:hAnsi="Times New Roman" w:cs="Times New Roman"/>
          <w:sz w:val="24"/>
          <w:szCs w:val="24"/>
          <w:lang w:val="en-GB"/>
        </w:rPr>
        <w:t>&gt; worksheet.</w:t>
      </w:r>
    </w:p>
    <w:p w14:paraId="5C35ACAD" w14:textId="4F8116FF" w:rsidR="0044385C" w:rsidRDefault="00210B00" w:rsidP="00424C9E">
      <w:pPr>
        <w:spacing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C</w:t>
      </w:r>
      <w:r w:rsidR="0044385C" w:rsidRPr="009058FD">
        <w:rPr>
          <w:rFonts w:ascii="Times New Roman" w:eastAsia="Calibri" w:hAnsi="Times New Roman" w:cs="Times New Roman"/>
          <w:sz w:val="24"/>
          <w:szCs w:val="24"/>
          <w:lang w:val="en-GB"/>
        </w:rPr>
        <w:t xml:space="preserve">alculate the EDIEH </w:t>
      </w:r>
      <w:r w:rsidR="00767D99">
        <w:rPr>
          <w:rFonts w:ascii="Times New Roman" w:eastAsia="Calibri" w:hAnsi="Times New Roman" w:cs="Times New Roman"/>
          <w:sz w:val="24"/>
          <w:szCs w:val="24"/>
          <w:lang w:val="en-GB"/>
        </w:rPr>
        <w:t xml:space="preserve">(Equally Distributed by Income Equivalent Health) </w:t>
      </w:r>
      <w:r w:rsidR="0044385C" w:rsidRPr="009058FD">
        <w:rPr>
          <w:rFonts w:ascii="Times New Roman" w:eastAsia="Calibri" w:hAnsi="Times New Roman" w:cs="Times New Roman"/>
          <w:sz w:val="24"/>
          <w:szCs w:val="24"/>
          <w:lang w:val="en-GB"/>
        </w:rPr>
        <w:t xml:space="preserve">and </w:t>
      </w:r>
      <w:r w:rsidR="00E71702">
        <w:rPr>
          <w:rFonts w:ascii="Times New Roman" w:eastAsia="Calibri" w:hAnsi="Times New Roman" w:cs="Times New Roman"/>
          <w:sz w:val="24"/>
          <w:szCs w:val="24"/>
          <w:lang w:val="en-GB"/>
        </w:rPr>
        <w:t xml:space="preserve">extended </w:t>
      </w:r>
      <w:r w:rsidR="0044385C" w:rsidRPr="009058FD">
        <w:rPr>
          <w:rFonts w:ascii="Times New Roman" w:eastAsia="Calibri" w:hAnsi="Times New Roman" w:cs="Times New Roman"/>
          <w:sz w:val="24"/>
          <w:szCs w:val="24"/>
          <w:lang w:val="en-GB"/>
        </w:rPr>
        <w:t>concentration indices proceed</w:t>
      </w:r>
      <w:r w:rsidR="00A44C1C">
        <w:rPr>
          <w:rFonts w:ascii="Times New Roman" w:eastAsia="Calibri" w:hAnsi="Times New Roman" w:cs="Times New Roman"/>
          <w:sz w:val="24"/>
          <w:szCs w:val="24"/>
          <w:lang w:val="en-GB"/>
        </w:rPr>
        <w:t>ing</w:t>
      </w:r>
      <w:r w:rsidR="0044385C" w:rsidRPr="009058FD">
        <w:rPr>
          <w:rFonts w:ascii="Times New Roman" w:eastAsia="Calibri" w:hAnsi="Times New Roman" w:cs="Times New Roman"/>
          <w:sz w:val="24"/>
          <w:szCs w:val="24"/>
          <w:lang w:val="en-GB"/>
        </w:rPr>
        <w:t xml:space="preserve"> analogously to what you did before to get the </w:t>
      </w:r>
      <w:proofErr w:type="gramStart"/>
      <w:r w:rsidR="0044385C" w:rsidRPr="009058FD">
        <w:rPr>
          <w:rFonts w:ascii="Times New Roman" w:eastAsia="Calibri" w:hAnsi="Times New Roman" w:cs="Times New Roman"/>
          <w:sz w:val="24"/>
          <w:szCs w:val="24"/>
          <w:lang w:val="en-GB"/>
        </w:rPr>
        <w:t>EDEH</w:t>
      </w:r>
      <w:r w:rsidR="00A44C1C">
        <w:rPr>
          <w:rFonts w:ascii="Times New Roman" w:eastAsia="Calibri" w:hAnsi="Times New Roman" w:cs="Times New Roman"/>
          <w:sz w:val="24"/>
          <w:szCs w:val="24"/>
          <w:lang w:val="en-GB"/>
        </w:rPr>
        <w:t>, but</w:t>
      </w:r>
      <w:proofErr w:type="gramEnd"/>
      <w:r w:rsidR="00A44C1C">
        <w:rPr>
          <w:rFonts w:ascii="Times New Roman" w:eastAsia="Calibri" w:hAnsi="Times New Roman" w:cs="Times New Roman"/>
          <w:sz w:val="24"/>
          <w:szCs w:val="24"/>
          <w:lang w:val="en-GB"/>
        </w:rPr>
        <w:t xml:space="preserve"> replacing health rank by </w:t>
      </w:r>
      <w:r w:rsidR="00591A86">
        <w:rPr>
          <w:rFonts w:ascii="Times New Roman" w:eastAsia="Calibri" w:hAnsi="Times New Roman" w:cs="Times New Roman"/>
          <w:sz w:val="24"/>
          <w:szCs w:val="24"/>
          <w:lang w:val="en-GB"/>
        </w:rPr>
        <w:t>SES</w:t>
      </w:r>
      <w:r w:rsidR="00A44C1C">
        <w:rPr>
          <w:rFonts w:ascii="Times New Roman" w:eastAsia="Calibri" w:hAnsi="Times New Roman" w:cs="Times New Roman"/>
          <w:sz w:val="24"/>
          <w:szCs w:val="24"/>
          <w:lang w:val="en-GB"/>
        </w:rPr>
        <w:t xml:space="preserve"> rank</w:t>
      </w:r>
      <w:r w:rsidR="00E71702">
        <w:rPr>
          <w:rFonts w:ascii="Times New Roman" w:eastAsia="Calibri" w:hAnsi="Times New Roman" w:cs="Times New Roman"/>
          <w:sz w:val="24"/>
          <w:szCs w:val="24"/>
          <w:lang w:val="en-GB"/>
        </w:rPr>
        <w:t>.</w:t>
      </w:r>
    </w:p>
    <w:p w14:paraId="1B24B8E9" w14:textId="724A737E" w:rsidR="0044385C" w:rsidRDefault="00E71702" w:rsidP="00E71702">
      <w:pPr>
        <w:spacing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We find that welfare is highest in </w:t>
      </w:r>
      <w:r w:rsidR="007A24FA">
        <w:rPr>
          <w:rFonts w:ascii="Times New Roman" w:eastAsia="Calibri" w:hAnsi="Times New Roman" w:cs="Times New Roman"/>
          <w:sz w:val="24"/>
          <w:szCs w:val="24"/>
          <w:lang w:val="en-GB"/>
        </w:rPr>
        <w:t>option</w:t>
      </w:r>
      <w:r>
        <w:rPr>
          <w:rFonts w:ascii="Times New Roman" w:eastAsia="Calibri" w:hAnsi="Times New Roman" w:cs="Times New Roman"/>
          <w:sz w:val="24"/>
          <w:szCs w:val="24"/>
          <w:lang w:val="en-GB"/>
        </w:rPr>
        <w:t xml:space="preserve"> 3 and lowest in </w:t>
      </w:r>
      <w:r w:rsidR="007A24FA">
        <w:rPr>
          <w:rFonts w:ascii="Times New Roman" w:eastAsia="Calibri" w:hAnsi="Times New Roman" w:cs="Times New Roman"/>
          <w:sz w:val="24"/>
          <w:szCs w:val="24"/>
          <w:lang w:val="en-GB"/>
        </w:rPr>
        <w:t>option</w:t>
      </w:r>
      <w:r>
        <w:rPr>
          <w:rFonts w:ascii="Times New Roman" w:eastAsia="Calibri" w:hAnsi="Times New Roman" w:cs="Times New Roman"/>
          <w:sz w:val="24"/>
          <w:szCs w:val="24"/>
          <w:lang w:val="en-GB"/>
        </w:rPr>
        <w:t xml:space="preserve"> 1, while </w:t>
      </w:r>
      <w:r w:rsidR="0044385C" w:rsidRPr="009058FD">
        <w:rPr>
          <w:rFonts w:ascii="Times New Roman" w:eastAsia="Calibri" w:hAnsi="Times New Roman" w:cs="Times New Roman"/>
          <w:sz w:val="24"/>
          <w:szCs w:val="24"/>
          <w:lang w:val="en-GB"/>
        </w:rPr>
        <w:t xml:space="preserve">inequality (absolute and relative) is lowest in </w:t>
      </w:r>
      <w:r>
        <w:rPr>
          <w:rFonts w:ascii="Times New Roman" w:eastAsia="Calibri" w:hAnsi="Times New Roman" w:cs="Times New Roman"/>
          <w:sz w:val="24"/>
          <w:szCs w:val="24"/>
          <w:lang w:val="en-GB"/>
        </w:rPr>
        <w:t>3</w:t>
      </w:r>
      <w:r w:rsidR="0044385C" w:rsidRPr="009058FD">
        <w:rPr>
          <w:rFonts w:ascii="Times New Roman" w:eastAsia="Calibri" w:hAnsi="Times New Roman" w:cs="Times New Roman"/>
          <w:sz w:val="24"/>
          <w:szCs w:val="24"/>
          <w:lang w:val="en-GB"/>
        </w:rPr>
        <w:t xml:space="preserve"> and highest in 1, provided </w:t>
      </w:r>
      <m:oMath>
        <m:r>
          <w:rPr>
            <w:rFonts w:ascii="Cambria Math" w:eastAsia="Calibri" w:hAnsi="Cambria Math" w:cs="Times New Roman"/>
            <w:sz w:val="24"/>
            <w:szCs w:val="24"/>
            <w:lang w:val="en-GB"/>
          </w:rPr>
          <m:t>η</m:t>
        </m:r>
      </m:oMath>
      <w:r w:rsidR="0044385C" w:rsidRPr="009058FD">
        <w:rPr>
          <w:rFonts w:ascii="Times New Roman" w:eastAsia="Times New Roman" w:hAnsi="Times New Roman" w:cs="Times New Roman"/>
          <w:sz w:val="24"/>
          <w:szCs w:val="24"/>
          <w:lang w:val="en-GB"/>
        </w:rPr>
        <w:t xml:space="preserve"> is not too small</w:t>
      </w:r>
      <w:r w:rsidR="0044385C" w:rsidRPr="009058FD">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 xml:space="preserve"> Again, compared to exercise 11 where bivariate DPTS was required</w:t>
      </w:r>
      <w:r w:rsidR="0044385C" w:rsidRPr="009058FD">
        <w:rPr>
          <w:rFonts w:ascii="Times New Roman" w:eastAsia="Calibri" w:hAnsi="Times New Roman" w:cs="Times New Roman"/>
          <w:sz w:val="24"/>
          <w:szCs w:val="24"/>
          <w:lang w:val="en-GB"/>
        </w:rPr>
        <w:t xml:space="preserve">, </w:t>
      </w:r>
      <m:oMath>
        <m:r>
          <w:rPr>
            <w:rFonts w:ascii="Cambria Math" w:eastAsia="Calibri" w:hAnsi="Cambria Math" w:cs="Times New Roman"/>
            <w:sz w:val="24"/>
            <w:szCs w:val="24"/>
            <w:lang w:val="en-GB"/>
          </w:rPr>
          <m:t>η&gt;2</m:t>
        </m:r>
      </m:oMath>
      <w:r>
        <w:rPr>
          <w:rFonts w:ascii="Times New Roman" w:eastAsia="Calibri" w:hAnsi="Times New Roman" w:cs="Times New Roman"/>
          <w:sz w:val="24"/>
          <w:szCs w:val="24"/>
          <w:lang w:val="en-GB"/>
        </w:rPr>
        <w:t xml:space="preserve">, to find dominance of 3 over 2, </w:t>
      </w:r>
      <w:r w:rsidR="004231DC">
        <w:rPr>
          <w:rFonts w:ascii="Times New Roman" w:eastAsia="Calibri" w:hAnsi="Times New Roman" w:cs="Times New Roman"/>
          <w:sz w:val="24"/>
          <w:szCs w:val="24"/>
          <w:lang w:val="en-GB"/>
        </w:rPr>
        <w:t>this exercise</w:t>
      </w:r>
      <w:r w:rsidR="0044385C" w:rsidRPr="009058FD">
        <w:rPr>
          <w:rFonts w:ascii="Times New Roman" w:eastAsia="Calibri" w:hAnsi="Times New Roman" w:cs="Times New Roman"/>
          <w:sz w:val="24"/>
          <w:szCs w:val="24"/>
          <w:lang w:val="en-GB"/>
        </w:rPr>
        <w:t xml:space="preserve"> illustrates that parameterization can achieve a welfare ordering in some cases in which dominance does not. However, the ordering obtained through parameterization is less robust than</w:t>
      </w:r>
      <w:r w:rsidR="004459B2">
        <w:rPr>
          <w:rFonts w:ascii="Times New Roman" w:eastAsia="Calibri" w:hAnsi="Times New Roman" w:cs="Times New Roman"/>
          <w:sz w:val="24"/>
          <w:szCs w:val="24"/>
          <w:lang w:val="en-GB"/>
        </w:rPr>
        <w:t xml:space="preserve"> that found by dominance.</w:t>
      </w:r>
    </w:p>
    <w:p w14:paraId="76FB7153" w14:textId="1C1BFFDF" w:rsidR="00B873B6" w:rsidRPr="005537A5" w:rsidRDefault="00B873B6" w:rsidP="00B873B6">
      <w:pPr>
        <w:spacing w:line="360" w:lineRule="auto"/>
        <w:jc w:val="both"/>
        <w:rPr>
          <w:rFonts w:ascii="Times New Roman" w:eastAsiaTheme="majorEastAsia" w:hAnsi="Times New Roman" w:cs="Times New Roman"/>
          <w:i/>
          <w:sz w:val="24"/>
          <w:szCs w:val="24"/>
          <w:lang w:val="en-GB"/>
        </w:rPr>
      </w:pPr>
      <w:r>
        <w:rPr>
          <w:rFonts w:ascii="Times New Roman" w:eastAsiaTheme="majorEastAsia" w:hAnsi="Times New Roman" w:cs="Times New Roman"/>
          <w:i/>
          <w:sz w:val="24"/>
          <w:szCs w:val="24"/>
          <w:lang w:val="en-GB"/>
        </w:rPr>
        <w:t>Inequality and welfare orderings, and the equity impact plane for different attitudes to socioeconomic inequality aversion</w:t>
      </w:r>
    </w:p>
    <w:p w14:paraId="073F5439" w14:textId="52842266" w:rsidR="004459B2" w:rsidRDefault="002D47AC" w:rsidP="00E71702">
      <w:pPr>
        <w:spacing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Select the &lt;SES-inequality aversion &amp; EDIEH&gt; worksheet.</w:t>
      </w:r>
    </w:p>
    <w:p w14:paraId="39188D01" w14:textId="2D3D8F34" w:rsidR="002D47AC" w:rsidRDefault="002D47AC" w:rsidP="002D47AC">
      <w:pPr>
        <w:spacing w:line="360" w:lineRule="auto"/>
        <w:jc w:val="both"/>
        <w:rPr>
          <w:rFonts w:ascii="Times New Roman" w:eastAsia="Calibri" w:hAnsi="Times New Roman" w:cs="Times New Roman"/>
          <w:noProof/>
          <w:sz w:val="24"/>
          <w:szCs w:val="24"/>
          <w:lang w:val="en-GB"/>
        </w:rPr>
      </w:pPr>
      <w:r>
        <w:rPr>
          <w:rFonts w:ascii="Times New Roman" w:eastAsia="Calibri" w:hAnsi="Times New Roman" w:cs="Times New Roman"/>
          <w:sz w:val="24"/>
          <w:szCs w:val="24"/>
          <w:lang w:val="en-GB"/>
        </w:rPr>
        <w:t xml:space="preserve">Plot the value of </w:t>
      </w:r>
      <w:r w:rsidR="0044385C" w:rsidRPr="009058FD">
        <w:rPr>
          <w:rFonts w:ascii="Times New Roman" w:eastAsia="Calibri" w:hAnsi="Times New Roman" w:cs="Times New Roman"/>
          <w:noProof/>
          <w:position w:val="-10"/>
          <w:sz w:val="24"/>
          <w:szCs w:val="24"/>
          <w:lang w:val="en-GB"/>
        </w:rPr>
        <w:object w:dxaOrig="180" w:dyaOrig="240" w14:anchorId="37B3BC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pt;height:12pt;mso-width-percent:0;mso-height-percent:0;mso-width-percent:0;mso-height-percent:0" o:ole="">
            <v:imagedata r:id="rId8" o:title=""/>
          </v:shape>
          <o:OLEObject Type="Embed" ProgID="Equation.DSMT4" ShapeID="_x0000_i1025" DrawAspect="Content" ObjectID="_1662019636" r:id="rId9"/>
        </w:object>
      </w:r>
      <w:r w:rsidR="0044385C" w:rsidRPr="009058FD">
        <w:rPr>
          <w:rFonts w:ascii="Times New Roman" w:eastAsia="Calibri" w:hAnsi="Times New Roman" w:cs="Times New Roman"/>
          <w:noProof/>
          <w:sz w:val="24"/>
          <w:szCs w:val="24"/>
          <w:lang w:val="en-GB"/>
        </w:rPr>
        <w:t xml:space="preserve"> versus the level of EDIEH for the different </w:t>
      </w:r>
      <w:r w:rsidR="007A24FA">
        <w:rPr>
          <w:rFonts w:ascii="Times New Roman" w:eastAsia="Calibri" w:hAnsi="Times New Roman" w:cs="Times New Roman"/>
          <w:noProof/>
          <w:sz w:val="24"/>
          <w:szCs w:val="24"/>
          <w:lang w:val="en-GB"/>
        </w:rPr>
        <w:t>option</w:t>
      </w:r>
      <w:r>
        <w:rPr>
          <w:rFonts w:ascii="Times New Roman" w:eastAsia="Calibri" w:hAnsi="Times New Roman" w:cs="Times New Roman"/>
          <w:noProof/>
          <w:sz w:val="24"/>
          <w:szCs w:val="24"/>
          <w:lang w:val="en-GB"/>
        </w:rPr>
        <w:t>s.</w:t>
      </w:r>
    </w:p>
    <w:p w14:paraId="74ACBD71" w14:textId="26E960A6" w:rsidR="00546C1B" w:rsidRDefault="00546C1B" w:rsidP="00546C1B">
      <w:pPr>
        <w:spacing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We find that 3 has </w:t>
      </w:r>
      <w:r w:rsidR="0044385C" w:rsidRPr="009058FD">
        <w:rPr>
          <w:rFonts w:ascii="Times New Roman" w:eastAsia="Calibri" w:hAnsi="Times New Roman" w:cs="Times New Roman"/>
          <w:noProof/>
          <w:sz w:val="24"/>
          <w:szCs w:val="24"/>
          <w:lang w:val="en-GB"/>
        </w:rPr>
        <w:t xml:space="preserve">higher welfare when </w:t>
      </w:r>
      <m:oMath>
        <m:r>
          <w:rPr>
            <w:rFonts w:ascii="Cambria Math" w:eastAsia="Calibri" w:hAnsi="Cambria Math" w:cs="Times New Roman"/>
            <w:sz w:val="24"/>
            <w:szCs w:val="24"/>
            <w:lang w:val="en-GB"/>
          </w:rPr>
          <m:t>η</m:t>
        </m:r>
      </m:oMath>
      <w:r w:rsidR="0044385C" w:rsidRPr="009058FD">
        <w:rPr>
          <w:rFonts w:ascii="Times New Roman" w:eastAsia="Times New Roman" w:hAnsi="Times New Roman" w:cs="Times New Roman"/>
          <w:noProof/>
          <w:sz w:val="24"/>
          <w:szCs w:val="24"/>
          <w:lang w:val="en-GB"/>
        </w:rPr>
        <w:t xml:space="preserve"> is larger than 1.3, and 2 has highest welfare for values smaller than 1.3.</w:t>
      </w:r>
    </w:p>
    <w:p w14:paraId="0836A0FA" w14:textId="7DDE5A52" w:rsidR="00546C1B" w:rsidRDefault="00503F4B" w:rsidP="00546C1B">
      <w:pPr>
        <w:spacing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Select the &lt;equity impact plane &amp; EDIEH&gt; worksheet.</w:t>
      </w:r>
    </w:p>
    <w:p w14:paraId="607EFC29" w14:textId="0612C212" w:rsidR="0044385C" w:rsidRPr="009058FD" w:rsidRDefault="007A24FA" w:rsidP="00546C1B">
      <w:pPr>
        <w:spacing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This shows </w:t>
      </w:r>
      <w:r w:rsidR="00503F4B">
        <w:rPr>
          <w:rFonts w:ascii="Times New Roman" w:eastAsia="Calibri" w:hAnsi="Times New Roman" w:cs="Times New Roman"/>
          <w:sz w:val="24"/>
          <w:szCs w:val="24"/>
          <w:lang w:val="en-GB"/>
        </w:rPr>
        <w:t>the equity</w:t>
      </w:r>
      <w:r>
        <w:rPr>
          <w:rFonts w:ascii="Times New Roman" w:eastAsia="Calibri" w:hAnsi="Times New Roman" w:cs="Times New Roman"/>
          <w:sz w:val="24"/>
          <w:szCs w:val="24"/>
          <w:lang w:val="en-GB"/>
        </w:rPr>
        <w:t>-efficiency</w:t>
      </w:r>
      <w:r w:rsidR="00503F4B">
        <w:rPr>
          <w:rFonts w:ascii="Times New Roman" w:eastAsia="Calibri" w:hAnsi="Times New Roman" w:cs="Times New Roman"/>
          <w:sz w:val="24"/>
          <w:szCs w:val="24"/>
          <w:lang w:val="en-GB"/>
        </w:rPr>
        <w:t xml:space="preserve"> plane for </w:t>
      </w:r>
      <w:r w:rsidR="0044385C" w:rsidRPr="009058FD">
        <w:rPr>
          <w:rFonts w:ascii="Times New Roman" w:eastAsia="Calibri" w:hAnsi="Times New Roman" w:cs="Times New Roman"/>
          <w:noProof/>
          <w:position w:val="-10"/>
          <w:sz w:val="24"/>
          <w:szCs w:val="24"/>
          <w:lang w:val="en-GB"/>
        </w:rPr>
        <w:object w:dxaOrig="180" w:dyaOrig="240" w14:anchorId="0543C1B5">
          <v:shape id="_x0000_i1026" type="#_x0000_t75" alt="" style="width:9pt;height:12pt;mso-width-percent:0;mso-height-percent:0;mso-width-percent:0;mso-height-percent:0" o:ole="">
            <v:imagedata r:id="rId8" o:title=""/>
          </v:shape>
          <o:OLEObject Type="Embed" ProgID="Equation.DSMT4" ShapeID="_x0000_i1026" DrawAspect="Content" ObjectID="_1662019637" r:id="rId10"/>
        </w:object>
      </w:r>
      <w:r w:rsidR="0044385C" w:rsidRPr="009058FD">
        <w:rPr>
          <w:rFonts w:ascii="Times New Roman" w:eastAsia="Calibri" w:hAnsi="Times New Roman" w:cs="Times New Roman"/>
          <w:noProof/>
          <w:sz w:val="24"/>
          <w:szCs w:val="24"/>
          <w:lang w:val="en-GB"/>
        </w:rPr>
        <w:t xml:space="preserve"> = 1, 1.2, 2 and 3</w:t>
      </w:r>
      <w:r w:rsidR="00503F4B">
        <w:rPr>
          <w:rFonts w:ascii="Times New Roman" w:eastAsia="Calibri" w:hAnsi="Times New Roman" w:cs="Times New Roman"/>
          <w:noProof/>
          <w:sz w:val="24"/>
          <w:szCs w:val="24"/>
          <w:lang w:val="en-GB"/>
        </w:rPr>
        <w:t xml:space="preserve"> with the relative extended concentration index on the horizontal axis.</w:t>
      </w:r>
    </w:p>
    <w:p w14:paraId="4D2C6151" w14:textId="77777777" w:rsidR="0044385C" w:rsidRPr="009058FD" w:rsidRDefault="0044385C" w:rsidP="00424C9E">
      <w:pPr>
        <w:keepNext/>
        <w:spacing w:line="360" w:lineRule="auto"/>
        <w:jc w:val="both"/>
        <w:rPr>
          <w:rFonts w:ascii="Times New Roman" w:eastAsia="Calibri" w:hAnsi="Times New Roman" w:cs="Times New Roman"/>
          <w:i/>
          <w:sz w:val="24"/>
          <w:szCs w:val="24"/>
          <w:u w:val="single"/>
          <w:lang w:val="en-GB"/>
        </w:rPr>
      </w:pPr>
      <w:r w:rsidRPr="009058FD">
        <w:rPr>
          <w:rFonts w:ascii="Times New Roman" w:eastAsia="Calibri" w:hAnsi="Times New Roman" w:cs="Times New Roman"/>
          <w:i/>
          <w:sz w:val="24"/>
          <w:szCs w:val="24"/>
          <w:lang w:val="en-GB"/>
        </w:rPr>
        <w:t>Individual versus between group analysis</w:t>
      </w:r>
    </w:p>
    <w:p w14:paraId="5E1E4BEF" w14:textId="1BBE1A6C" w:rsidR="00B24662" w:rsidRDefault="0044385C" w:rsidP="00FD181E">
      <w:pPr>
        <w:spacing w:line="360" w:lineRule="auto"/>
        <w:jc w:val="both"/>
        <w:rPr>
          <w:rFonts w:ascii="Times New Roman" w:eastAsiaTheme="majorEastAsia" w:hAnsi="Times New Roman" w:cs="Times New Roman"/>
          <w:b/>
          <w:sz w:val="24"/>
          <w:szCs w:val="24"/>
          <w:lang w:val="en-GB"/>
        </w:rPr>
      </w:pPr>
      <w:r w:rsidRPr="009058FD">
        <w:rPr>
          <w:rFonts w:ascii="Times New Roman" w:eastAsia="Calibri" w:hAnsi="Times New Roman" w:cs="Times New Roman"/>
          <w:sz w:val="24"/>
          <w:szCs w:val="24"/>
          <w:lang w:val="en-GB"/>
        </w:rPr>
        <w:t>A</w:t>
      </w:r>
      <w:r>
        <w:rPr>
          <w:rFonts w:ascii="Times New Roman" w:eastAsia="Calibri" w:hAnsi="Times New Roman" w:cs="Times New Roman"/>
          <w:sz w:val="24"/>
          <w:szCs w:val="24"/>
          <w:lang w:val="en-GB"/>
        </w:rPr>
        <w:t>s in exercise 11</w:t>
      </w:r>
      <w:r w:rsidRPr="009058FD">
        <w:rPr>
          <w:rFonts w:ascii="Times New Roman" w:eastAsia="Calibri" w:hAnsi="Times New Roman" w:cs="Times New Roman"/>
          <w:sz w:val="24"/>
          <w:szCs w:val="24"/>
          <w:lang w:val="en-GB"/>
        </w:rPr>
        <w:t>, we analys</w:t>
      </w:r>
      <w:r>
        <w:rPr>
          <w:rFonts w:ascii="Times New Roman" w:eastAsia="Calibri" w:hAnsi="Times New Roman" w:cs="Times New Roman"/>
          <w:sz w:val="24"/>
          <w:szCs w:val="24"/>
          <w:lang w:val="en-GB"/>
        </w:rPr>
        <w:t>e</w:t>
      </w:r>
      <w:r w:rsidRPr="009058FD">
        <w:rPr>
          <w:rFonts w:ascii="Times New Roman" w:eastAsia="Calibri" w:hAnsi="Times New Roman" w:cs="Times New Roman"/>
          <w:sz w:val="24"/>
          <w:szCs w:val="24"/>
          <w:lang w:val="en-GB"/>
        </w:rPr>
        <w:t xml:space="preserve"> health distributions at the group level </w:t>
      </w:r>
      <w:r>
        <w:rPr>
          <w:rFonts w:ascii="Times New Roman" w:eastAsia="Calibri" w:hAnsi="Times New Roman" w:cs="Times New Roman"/>
          <w:sz w:val="24"/>
          <w:szCs w:val="24"/>
          <w:lang w:val="en-GB"/>
        </w:rPr>
        <w:t>and so neglect</w:t>
      </w:r>
      <w:r w:rsidRPr="009058FD">
        <w:rPr>
          <w:rFonts w:ascii="Times New Roman" w:eastAsia="Calibri" w:hAnsi="Times New Roman" w:cs="Times New Roman"/>
          <w:sz w:val="24"/>
          <w:szCs w:val="24"/>
          <w:lang w:val="en-GB"/>
        </w:rPr>
        <w:t xml:space="preserve"> within group variation in HALE. </w:t>
      </w:r>
      <w:r>
        <w:rPr>
          <w:rFonts w:ascii="Times New Roman" w:eastAsia="Calibri" w:hAnsi="Times New Roman" w:cs="Times New Roman"/>
          <w:sz w:val="24"/>
          <w:szCs w:val="24"/>
          <w:lang w:val="en-GB"/>
        </w:rPr>
        <w:t xml:space="preserve">See </w:t>
      </w:r>
      <w:r w:rsidRPr="009058FD">
        <w:rPr>
          <w:rFonts w:ascii="Times New Roman" w:eastAsia="Calibri" w:hAnsi="Times New Roman" w:cs="Times New Roman"/>
          <w:sz w:val="24"/>
          <w:szCs w:val="24"/>
          <w:lang w:val="en-GB"/>
        </w:rPr>
        <w:t xml:space="preserve">chapter </w:t>
      </w:r>
      <w:r w:rsidR="007A24FA">
        <w:rPr>
          <w:rFonts w:ascii="Times New Roman" w:eastAsia="Calibri" w:hAnsi="Times New Roman" w:cs="Times New Roman"/>
          <w:sz w:val="24"/>
          <w:szCs w:val="24"/>
          <w:lang w:val="en-GB"/>
        </w:rPr>
        <w:t>1</w:t>
      </w:r>
      <w:r w:rsidR="00EF02D1">
        <w:rPr>
          <w:rFonts w:ascii="Times New Roman" w:eastAsia="Calibri" w:hAnsi="Times New Roman" w:cs="Times New Roman"/>
          <w:sz w:val="24"/>
          <w:szCs w:val="24"/>
          <w:lang w:val="en-GB"/>
        </w:rPr>
        <w:t xml:space="preserve">1 </w:t>
      </w:r>
      <w:r w:rsidRPr="009058FD">
        <w:rPr>
          <w:rFonts w:ascii="Times New Roman" w:eastAsia="Calibri" w:hAnsi="Times New Roman" w:cs="Times New Roman"/>
          <w:sz w:val="24"/>
          <w:szCs w:val="24"/>
          <w:lang w:val="en-GB"/>
        </w:rPr>
        <w:t xml:space="preserve">for </w:t>
      </w:r>
      <w:r>
        <w:rPr>
          <w:rFonts w:ascii="Times New Roman" w:eastAsia="Calibri" w:hAnsi="Times New Roman" w:cs="Times New Roman"/>
          <w:sz w:val="24"/>
          <w:szCs w:val="24"/>
          <w:lang w:val="en-GB"/>
        </w:rPr>
        <w:t>further</w:t>
      </w:r>
      <w:r>
        <w:rPr>
          <w:rFonts w:ascii="Times New Roman" w:eastAsia="Calibri" w:hAnsi="Times New Roman" w:cs="Times New Roman"/>
          <w:sz w:val="24"/>
          <w:szCs w:val="24"/>
        </w:rPr>
        <w:t xml:space="preserve"> discussion.</w:t>
      </w:r>
      <w:r w:rsidR="00B24662">
        <w:rPr>
          <w:rFonts w:ascii="Times New Roman" w:eastAsiaTheme="majorEastAsia" w:hAnsi="Times New Roman" w:cs="Times New Roman"/>
          <w:b/>
          <w:sz w:val="24"/>
          <w:szCs w:val="24"/>
          <w:lang w:val="en-GB"/>
        </w:rPr>
        <w:br w:type="page"/>
      </w:r>
    </w:p>
    <w:p w14:paraId="608B2503" w14:textId="77777777" w:rsidR="00980568" w:rsidRDefault="00980568" w:rsidP="00424C9E">
      <w:pPr>
        <w:spacing w:line="360" w:lineRule="auto"/>
        <w:rPr>
          <w:rFonts w:ascii="Times New Roman" w:eastAsiaTheme="majorEastAsia" w:hAnsi="Times New Roman" w:cs="Times New Roman"/>
          <w:b/>
          <w:sz w:val="24"/>
          <w:szCs w:val="24"/>
          <w:lang w:val="en-GB"/>
        </w:rPr>
      </w:pPr>
      <w:r>
        <w:rPr>
          <w:rFonts w:ascii="Times New Roman" w:eastAsiaTheme="majorEastAsia" w:hAnsi="Times New Roman" w:cs="Times New Roman"/>
          <w:b/>
          <w:sz w:val="24"/>
          <w:szCs w:val="24"/>
          <w:lang w:val="en-GB"/>
        </w:rPr>
        <w:lastRenderedPageBreak/>
        <w:t>Optional extra web-based exercise</w:t>
      </w:r>
    </w:p>
    <w:p w14:paraId="2F0CB796" w14:textId="0FB4A926" w:rsidR="00C30B02" w:rsidRDefault="00C30B02" w:rsidP="00424C9E">
      <w:pPr>
        <w:spacing w:line="360" w:lineRule="auto"/>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 xml:space="preserve">The worksheets </w:t>
      </w:r>
      <w:r w:rsidR="00767D99">
        <w:rPr>
          <w:rFonts w:ascii="Times New Roman" w:eastAsiaTheme="majorEastAsia" w:hAnsi="Times New Roman" w:cs="Times New Roman"/>
          <w:sz w:val="24"/>
          <w:szCs w:val="24"/>
          <w:lang w:val="en-GB"/>
        </w:rPr>
        <w:t>&lt;</w:t>
      </w:r>
      <w:r>
        <w:rPr>
          <w:rFonts w:ascii="Times New Roman" w:eastAsiaTheme="majorEastAsia" w:hAnsi="Times New Roman" w:cs="Times New Roman"/>
          <w:sz w:val="24"/>
          <w:szCs w:val="24"/>
          <w:lang w:val="en-GB"/>
        </w:rPr>
        <w:t>inequality aversion &amp; EDEH</w:t>
      </w:r>
      <w:r w:rsidR="00767D99">
        <w:rPr>
          <w:rFonts w:ascii="Times New Roman" w:eastAsiaTheme="majorEastAsia" w:hAnsi="Times New Roman" w:cs="Times New Roman"/>
          <w:sz w:val="24"/>
          <w:szCs w:val="24"/>
          <w:lang w:val="en-GB"/>
        </w:rPr>
        <w:t>&gt;</w:t>
      </w:r>
      <w:r>
        <w:rPr>
          <w:rFonts w:ascii="Times New Roman" w:eastAsiaTheme="majorEastAsia" w:hAnsi="Times New Roman" w:cs="Times New Roman"/>
          <w:sz w:val="24"/>
          <w:szCs w:val="24"/>
          <w:lang w:val="en-GB"/>
        </w:rPr>
        <w:t xml:space="preserve"> and </w:t>
      </w:r>
      <w:r w:rsidR="00767D99">
        <w:rPr>
          <w:rFonts w:ascii="Times New Roman" w:eastAsiaTheme="majorEastAsia" w:hAnsi="Times New Roman" w:cs="Times New Roman"/>
          <w:sz w:val="24"/>
          <w:szCs w:val="24"/>
          <w:lang w:val="en-GB"/>
        </w:rPr>
        <w:t>&lt;</w:t>
      </w:r>
      <w:r>
        <w:rPr>
          <w:rFonts w:ascii="Times New Roman" w:eastAsiaTheme="majorEastAsia" w:hAnsi="Times New Roman" w:cs="Times New Roman"/>
          <w:sz w:val="24"/>
          <w:szCs w:val="24"/>
          <w:lang w:val="en-GB"/>
        </w:rPr>
        <w:t>equity plane &amp; EDEH</w:t>
      </w:r>
      <w:r w:rsidR="00767D99">
        <w:rPr>
          <w:rFonts w:ascii="Times New Roman" w:eastAsiaTheme="majorEastAsia" w:hAnsi="Times New Roman" w:cs="Times New Roman"/>
          <w:sz w:val="24"/>
          <w:szCs w:val="24"/>
          <w:lang w:val="en-GB"/>
        </w:rPr>
        <w:t>&gt;</w:t>
      </w:r>
      <w:r>
        <w:rPr>
          <w:rFonts w:ascii="Times New Roman" w:eastAsiaTheme="majorEastAsia" w:hAnsi="Times New Roman" w:cs="Times New Roman"/>
          <w:sz w:val="24"/>
          <w:szCs w:val="24"/>
          <w:lang w:val="en-GB"/>
        </w:rPr>
        <w:t xml:space="preserve"> have been simplified and automated in a web-based tool.</w:t>
      </w:r>
    </w:p>
    <w:p w14:paraId="5517DE99" w14:textId="15EBC12C" w:rsidR="00980568" w:rsidRDefault="00980568" w:rsidP="00424C9E">
      <w:pPr>
        <w:spacing w:line="360" w:lineRule="auto"/>
        <w:rPr>
          <w:rFonts w:ascii="Times New Roman" w:hAnsi="Times New Roman"/>
          <w:b/>
        </w:rPr>
      </w:pPr>
      <w:r>
        <w:rPr>
          <w:rFonts w:ascii="Times New Roman" w:eastAsiaTheme="majorEastAsia" w:hAnsi="Times New Roman" w:cs="Times New Roman"/>
          <w:sz w:val="24"/>
          <w:szCs w:val="24"/>
          <w:lang w:val="en-GB"/>
        </w:rPr>
        <w:t xml:space="preserve">Open the web-based tool at this website:  </w:t>
      </w:r>
      <w:hyperlink r:id="rId11" w:history="1">
        <w:r w:rsidRPr="00B24662">
          <w:rPr>
            <w:rStyle w:val="Hyperlink"/>
            <w:rFonts w:ascii="Times New Roman" w:hAnsi="Times New Roman"/>
            <w:b/>
          </w:rPr>
          <w:t>https://shiny.york.ac.uk/dcea/</w:t>
        </w:r>
      </w:hyperlink>
    </w:p>
    <w:p w14:paraId="0FC36CC0" w14:textId="77777777" w:rsidR="00980568" w:rsidRDefault="00980568" w:rsidP="00424C9E">
      <w:pPr>
        <w:spacing w:line="360" w:lineRule="auto"/>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Click on “Evaluate using social welfare functions”.</w:t>
      </w:r>
    </w:p>
    <w:p w14:paraId="572FBB12" w14:textId="77777777" w:rsidR="00980568" w:rsidRDefault="00980568" w:rsidP="00424C9E">
      <w:pPr>
        <w:spacing w:line="360" w:lineRule="auto"/>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t>Extended Gini social welfare function</w:t>
      </w:r>
    </w:p>
    <w:p w14:paraId="5D2879A7" w14:textId="3ED690F6" w:rsidR="00980568" w:rsidRDefault="00980568" w:rsidP="00424C9E">
      <w:pPr>
        <w:spacing w:line="360" w:lineRule="auto"/>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 xml:space="preserve">Click on “Gini EDE plot”.  Look at the graph entitled “Equity weighted NHB compared with No NRT”.  This compares social welfare under the three policies using the Extended Gini social welfare function with different levels of concern for reducing health inequality (“inequality aversion”). Social welfare is measured in </w:t>
      </w:r>
      <w:r w:rsidR="00221D35">
        <w:rPr>
          <w:rFonts w:ascii="Times New Roman" w:eastAsiaTheme="majorEastAsia" w:hAnsi="Times New Roman" w:cs="Times New Roman"/>
          <w:sz w:val="24"/>
          <w:szCs w:val="24"/>
          <w:lang w:val="en-GB"/>
        </w:rPr>
        <w:t xml:space="preserve">EDEH </w:t>
      </w:r>
      <w:r>
        <w:rPr>
          <w:rFonts w:ascii="Times New Roman" w:eastAsiaTheme="majorEastAsia" w:hAnsi="Times New Roman" w:cs="Times New Roman"/>
          <w:sz w:val="24"/>
          <w:szCs w:val="24"/>
          <w:lang w:val="en-GB"/>
        </w:rPr>
        <w:t>units that are comparable with population total HALYs.</w:t>
      </w:r>
    </w:p>
    <w:p w14:paraId="74CFECE2" w14:textId="77777777" w:rsidR="00980568" w:rsidRDefault="00980568" w:rsidP="00424C9E">
      <w:pPr>
        <w:pStyle w:val="ListParagraph"/>
        <w:numPr>
          <w:ilvl w:val="0"/>
          <w:numId w:val="9"/>
        </w:numPr>
        <w:spacing w:line="360" w:lineRule="auto"/>
        <w:rPr>
          <w:rFonts w:ascii="Times New Roman" w:eastAsiaTheme="majorEastAsia" w:hAnsi="Times New Roman" w:cs="Times New Roman"/>
          <w:sz w:val="24"/>
          <w:szCs w:val="24"/>
        </w:rPr>
      </w:pPr>
      <w:r w:rsidRPr="00C17061">
        <w:rPr>
          <w:rFonts w:ascii="Times New Roman" w:eastAsiaTheme="majorEastAsia" w:hAnsi="Times New Roman" w:cs="Times New Roman"/>
          <w:sz w:val="24"/>
          <w:szCs w:val="24"/>
        </w:rPr>
        <w:t>At what level of inequ</w:t>
      </w:r>
      <w:r>
        <w:rPr>
          <w:rFonts w:ascii="Times New Roman" w:eastAsiaTheme="majorEastAsia" w:hAnsi="Times New Roman" w:cs="Times New Roman"/>
          <w:sz w:val="24"/>
          <w:szCs w:val="24"/>
        </w:rPr>
        <w:t xml:space="preserve">ality </w:t>
      </w:r>
      <w:r w:rsidRPr="00C17061">
        <w:rPr>
          <w:rFonts w:ascii="Times New Roman" w:eastAsiaTheme="majorEastAsia" w:hAnsi="Times New Roman" w:cs="Times New Roman"/>
          <w:sz w:val="24"/>
          <w:szCs w:val="24"/>
        </w:rPr>
        <w:t>aversion do the two lines cross</w:t>
      </w:r>
      <w:r>
        <w:rPr>
          <w:rFonts w:ascii="Times New Roman" w:eastAsiaTheme="majorEastAsia" w:hAnsi="Times New Roman" w:cs="Times New Roman"/>
          <w:sz w:val="24"/>
          <w:szCs w:val="24"/>
        </w:rPr>
        <w:t>, such that Proportional Universal NRT has higher EDEH than Universal NRT</w:t>
      </w:r>
      <w:r w:rsidRPr="00C17061">
        <w:rPr>
          <w:rFonts w:ascii="Times New Roman" w:eastAsiaTheme="majorEastAsia" w:hAnsi="Times New Roman" w:cs="Times New Roman"/>
          <w:sz w:val="24"/>
          <w:szCs w:val="24"/>
        </w:rPr>
        <w:t xml:space="preserve">?  </w:t>
      </w:r>
      <w:r>
        <w:rPr>
          <w:rFonts w:ascii="Times New Roman" w:eastAsiaTheme="majorEastAsia" w:hAnsi="Times New Roman" w:cs="Times New Roman"/>
          <w:sz w:val="24"/>
          <w:szCs w:val="24"/>
        </w:rPr>
        <w:t>What does this mean?</w:t>
      </w:r>
    </w:p>
    <w:p w14:paraId="67BF858C" w14:textId="77777777" w:rsidR="00980568" w:rsidRPr="00C17061" w:rsidRDefault="00980568" w:rsidP="00424C9E">
      <w:pPr>
        <w:pStyle w:val="ListParagraph"/>
        <w:numPr>
          <w:ilvl w:val="0"/>
          <w:numId w:val="9"/>
        </w:numPr>
        <w:spacing w:line="360" w:lineRule="auto"/>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Try changing the baseline decision to “Universal NRT”.  (Select this in the </w:t>
      </w:r>
      <w:proofErr w:type="gramStart"/>
      <w:r>
        <w:rPr>
          <w:rFonts w:ascii="Times New Roman" w:eastAsiaTheme="majorEastAsia" w:hAnsi="Times New Roman" w:cs="Times New Roman"/>
          <w:sz w:val="24"/>
          <w:szCs w:val="24"/>
        </w:rPr>
        <w:t>left hand</w:t>
      </w:r>
      <w:proofErr w:type="gramEnd"/>
      <w:r>
        <w:rPr>
          <w:rFonts w:ascii="Times New Roman" w:eastAsiaTheme="majorEastAsia" w:hAnsi="Times New Roman" w:cs="Times New Roman"/>
          <w:sz w:val="24"/>
          <w:szCs w:val="24"/>
        </w:rPr>
        <w:t xml:space="preserve"> panel).  How and why do the lines change?</w:t>
      </w:r>
    </w:p>
    <w:p w14:paraId="397337FB" w14:textId="77777777" w:rsidR="00980568" w:rsidRDefault="00980568" w:rsidP="00424C9E">
      <w:pPr>
        <w:spacing w:line="360" w:lineRule="auto"/>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Now click on “Equity impact plane”.</w:t>
      </w:r>
    </w:p>
    <w:p w14:paraId="14377626" w14:textId="77777777" w:rsidR="00980568" w:rsidRDefault="00980568" w:rsidP="00424C9E">
      <w:pPr>
        <w:pStyle w:val="ListParagraph"/>
        <w:numPr>
          <w:ilvl w:val="0"/>
          <w:numId w:val="11"/>
        </w:numPr>
        <w:spacing w:line="360" w:lineRule="auto"/>
        <w:rPr>
          <w:rFonts w:ascii="Times New Roman" w:eastAsiaTheme="majorEastAsia" w:hAnsi="Times New Roman" w:cs="Times New Roman"/>
          <w:sz w:val="24"/>
          <w:szCs w:val="24"/>
        </w:rPr>
      </w:pPr>
      <w:r>
        <w:rPr>
          <w:rFonts w:ascii="Times New Roman" w:eastAsiaTheme="majorEastAsia" w:hAnsi="Times New Roman" w:cs="Times New Roman"/>
          <w:sz w:val="24"/>
          <w:szCs w:val="24"/>
        </w:rPr>
        <w:t>Try setting the inequality aversion parameter to 1, by moving the slider.  What do the results mean?  (</w:t>
      </w:r>
      <w:r>
        <w:rPr>
          <w:rFonts w:ascii="Times New Roman" w:eastAsiaTheme="majorEastAsia" w:hAnsi="Times New Roman" w:cs="Times New Roman"/>
          <w:i/>
          <w:sz w:val="24"/>
          <w:szCs w:val="24"/>
        </w:rPr>
        <w:t>Hint:  This corresponds to a standard CEA, which focuses only on efficiency in improving total health without concern for reducing health inequality).</w:t>
      </w:r>
    </w:p>
    <w:p w14:paraId="2EBC3ABD" w14:textId="77777777" w:rsidR="00980568" w:rsidRDefault="00980568" w:rsidP="00424C9E">
      <w:pPr>
        <w:pStyle w:val="ListParagraph"/>
        <w:numPr>
          <w:ilvl w:val="0"/>
          <w:numId w:val="11"/>
        </w:numPr>
        <w:spacing w:line="360" w:lineRule="auto"/>
        <w:rPr>
          <w:rFonts w:ascii="Times New Roman" w:eastAsiaTheme="majorEastAsia" w:hAnsi="Times New Roman" w:cs="Times New Roman"/>
          <w:sz w:val="24"/>
          <w:szCs w:val="24"/>
        </w:rPr>
      </w:pPr>
      <w:r>
        <w:rPr>
          <w:rFonts w:ascii="Times New Roman" w:eastAsiaTheme="majorEastAsia" w:hAnsi="Times New Roman" w:cs="Times New Roman"/>
          <w:sz w:val="24"/>
          <w:szCs w:val="24"/>
        </w:rPr>
        <w:t>Now try gradually increasing the parameter by moving the slider.  What happens to the points?  Why?</w:t>
      </w:r>
    </w:p>
    <w:p w14:paraId="06264193" w14:textId="4D858B5D" w:rsidR="00980568" w:rsidRDefault="00980568" w:rsidP="008C44A1">
      <w:pPr>
        <w:pStyle w:val="ListParagraph"/>
        <w:numPr>
          <w:ilvl w:val="0"/>
          <w:numId w:val="11"/>
        </w:numPr>
        <w:spacing w:line="360" w:lineRule="auto"/>
        <w:rPr>
          <w:rFonts w:ascii="Times New Roman" w:eastAsiaTheme="majorEastAsia" w:hAnsi="Times New Roman" w:cs="Times New Roman"/>
          <w:sz w:val="24"/>
          <w:szCs w:val="24"/>
        </w:rPr>
      </w:pPr>
      <w:r w:rsidRPr="008C44A1">
        <w:rPr>
          <w:rFonts w:ascii="Times New Roman" w:eastAsiaTheme="majorEastAsia" w:hAnsi="Times New Roman" w:cs="Times New Roman"/>
          <w:sz w:val="24"/>
          <w:szCs w:val="24"/>
        </w:rPr>
        <w:t>Try changing the baseline decision to “Universal NRT”.  At what level of inequity aversion does the “Proportional Universal” become clearly better than “Universal NRT”?</w:t>
      </w:r>
    </w:p>
    <w:p w14:paraId="3FBEB5A9" w14:textId="77777777" w:rsidR="00FD181E" w:rsidRDefault="00FD181E">
      <w:pPr>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br w:type="page"/>
      </w:r>
    </w:p>
    <w:p w14:paraId="4535E25B" w14:textId="06427CE9" w:rsidR="00164C1B" w:rsidRPr="00164C1B" w:rsidRDefault="00164C1B" w:rsidP="00164C1B">
      <w:pPr>
        <w:spacing w:line="360" w:lineRule="auto"/>
        <w:rPr>
          <w:rFonts w:ascii="Times New Roman" w:eastAsiaTheme="majorEastAsia" w:hAnsi="Times New Roman" w:cs="Times New Roman"/>
          <w:b/>
          <w:sz w:val="24"/>
          <w:szCs w:val="24"/>
        </w:rPr>
      </w:pPr>
      <w:r w:rsidRPr="00164C1B">
        <w:rPr>
          <w:rFonts w:ascii="Times New Roman" w:eastAsiaTheme="majorEastAsia" w:hAnsi="Times New Roman" w:cs="Times New Roman"/>
          <w:b/>
          <w:sz w:val="24"/>
          <w:szCs w:val="24"/>
        </w:rPr>
        <w:lastRenderedPageBreak/>
        <w:t>3 fictional individuals</w:t>
      </w:r>
    </w:p>
    <w:p w14:paraId="3F39A7FB" w14:textId="74219489" w:rsidR="00164C1B" w:rsidRPr="00221D35" w:rsidRDefault="00221D35" w:rsidP="00164C1B">
      <w:pPr>
        <w:spacing w:line="360" w:lineRule="auto"/>
        <w:rPr>
          <w:rFonts w:ascii="Times New Roman" w:eastAsiaTheme="majorEastAsia" w:hAnsi="Times New Roman" w:cs="Times New Roman"/>
          <w:sz w:val="24"/>
          <w:szCs w:val="24"/>
        </w:rPr>
      </w:pPr>
      <w:r>
        <w:rPr>
          <w:rFonts w:ascii="Times New Roman" w:eastAsiaTheme="majorEastAsia" w:hAnsi="Times New Roman" w:cs="Times New Roman"/>
          <w:sz w:val="24"/>
          <w:szCs w:val="24"/>
        </w:rPr>
        <w:t>D</w:t>
      </w:r>
      <w:r w:rsidR="00164C1B" w:rsidRPr="00164C1B">
        <w:rPr>
          <w:rFonts w:ascii="Times New Roman" w:eastAsiaTheme="majorEastAsia" w:hAnsi="Times New Roman" w:cs="Times New Roman"/>
          <w:sz w:val="24"/>
          <w:szCs w:val="24"/>
        </w:rPr>
        <w:t xml:space="preserve">ownload the CSV file </w:t>
      </w:r>
      <w:r w:rsidR="00164C1B" w:rsidRPr="00221D35">
        <w:rPr>
          <w:rFonts w:ascii="Times New Roman" w:eastAsiaTheme="majorEastAsia" w:hAnsi="Times New Roman" w:cs="Times New Roman"/>
          <w:i/>
          <w:iCs/>
          <w:sz w:val="24"/>
          <w:szCs w:val="24"/>
        </w:rPr>
        <w:t>entitled “</w:t>
      </w:r>
      <w:r w:rsidR="004A24FE" w:rsidRPr="00221D35">
        <w:rPr>
          <w:rFonts w:ascii="Times New Roman" w:eastAsiaTheme="majorEastAsia" w:hAnsi="Times New Roman" w:cs="Times New Roman"/>
          <w:i/>
          <w:iCs/>
          <w:sz w:val="24"/>
          <w:szCs w:val="24"/>
        </w:rPr>
        <w:t>Ex 12 – t</w:t>
      </w:r>
      <w:r w:rsidR="00164C1B" w:rsidRPr="00221D35">
        <w:rPr>
          <w:rFonts w:ascii="Times New Roman" w:eastAsiaTheme="majorEastAsia" w:hAnsi="Times New Roman" w:cs="Times New Roman"/>
          <w:i/>
          <w:iCs/>
          <w:sz w:val="24"/>
          <w:szCs w:val="24"/>
        </w:rPr>
        <w:t>hree individuals.csv”</w:t>
      </w:r>
      <w:r>
        <w:rPr>
          <w:rFonts w:ascii="Times New Roman" w:eastAsiaTheme="majorEastAsia" w:hAnsi="Times New Roman" w:cs="Times New Roman"/>
          <w:i/>
          <w:iCs/>
          <w:sz w:val="24"/>
          <w:szCs w:val="24"/>
        </w:rPr>
        <w:t xml:space="preserve">, </w:t>
      </w:r>
      <w:r>
        <w:rPr>
          <w:rFonts w:ascii="Times New Roman" w:eastAsiaTheme="majorEastAsia" w:hAnsi="Times New Roman" w:cs="Times New Roman"/>
          <w:sz w:val="24"/>
          <w:szCs w:val="24"/>
        </w:rPr>
        <w:t xml:space="preserve">from the handbook supporting materials webpage </w:t>
      </w:r>
      <w:hyperlink r:id="rId12" w:history="1">
        <w:r w:rsidRPr="00DA1C28">
          <w:rPr>
            <w:rStyle w:val="Hyperlink"/>
            <w:rFonts w:ascii="Times New Roman" w:eastAsia="Times New Roman" w:hAnsi="Times New Roman" w:cs="Arial"/>
            <w:bCs/>
            <w:iCs/>
            <w:lang w:eastAsia="en-GB"/>
          </w:rPr>
          <w:t>https://www.york.ac.uk/che/research/equity/handbook/</w:t>
        </w:r>
      </w:hyperlink>
    </w:p>
    <w:p w14:paraId="7CA7490B" w14:textId="2D54788A" w:rsidR="00164C1B" w:rsidRDefault="00221D35" w:rsidP="00164C1B">
      <w:pPr>
        <w:spacing w:line="360" w:lineRule="auto"/>
        <w:rPr>
          <w:rFonts w:ascii="Times New Roman" w:eastAsiaTheme="majorEastAsia" w:hAnsi="Times New Roman" w:cs="Times New Roman"/>
          <w:sz w:val="24"/>
          <w:szCs w:val="24"/>
        </w:rPr>
      </w:pPr>
      <w:r>
        <w:rPr>
          <w:rFonts w:ascii="Times New Roman" w:eastAsiaTheme="majorEastAsia" w:hAnsi="Times New Roman" w:cs="Times New Roman"/>
          <w:sz w:val="24"/>
          <w:szCs w:val="24"/>
        </w:rPr>
        <w:t>I</w:t>
      </w:r>
      <w:r w:rsidR="00164C1B" w:rsidRPr="00164C1B">
        <w:rPr>
          <w:rFonts w:ascii="Times New Roman" w:eastAsiaTheme="majorEastAsia" w:hAnsi="Times New Roman" w:cs="Times New Roman"/>
          <w:sz w:val="24"/>
          <w:szCs w:val="24"/>
        </w:rPr>
        <w:t xml:space="preserve">n the left-hand panel of the web-based tool, under “Choose CSV file”, upload this CSV file.  </w:t>
      </w:r>
    </w:p>
    <w:p w14:paraId="32F2D585" w14:textId="015B2B36" w:rsidR="00164C1B" w:rsidRDefault="00164C1B" w:rsidP="00164C1B">
      <w:pPr>
        <w:spacing w:line="360" w:lineRule="auto"/>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This </w:t>
      </w:r>
      <w:r w:rsidR="004A24FE">
        <w:rPr>
          <w:rFonts w:ascii="Times New Roman" w:eastAsiaTheme="majorEastAsia" w:hAnsi="Times New Roman" w:cs="Times New Roman"/>
          <w:sz w:val="24"/>
          <w:szCs w:val="24"/>
        </w:rPr>
        <w:t xml:space="preserve">is </w:t>
      </w:r>
      <w:r>
        <w:rPr>
          <w:rFonts w:ascii="Times New Roman" w:eastAsiaTheme="majorEastAsia" w:hAnsi="Times New Roman" w:cs="Times New Roman"/>
          <w:sz w:val="24"/>
          <w:szCs w:val="24"/>
        </w:rPr>
        <w:t xml:space="preserve">the same example used in Chapter </w:t>
      </w:r>
      <w:r w:rsidR="00746929">
        <w:rPr>
          <w:rFonts w:ascii="Times New Roman" w:eastAsiaTheme="majorEastAsia" w:hAnsi="Times New Roman" w:cs="Times New Roman"/>
          <w:sz w:val="24"/>
          <w:szCs w:val="24"/>
        </w:rPr>
        <w:t xml:space="preserve">11 </w:t>
      </w:r>
      <w:r>
        <w:rPr>
          <w:rFonts w:ascii="Times New Roman" w:eastAsiaTheme="majorEastAsia" w:hAnsi="Times New Roman" w:cs="Times New Roman"/>
          <w:sz w:val="24"/>
          <w:szCs w:val="24"/>
        </w:rPr>
        <w:t xml:space="preserve">of the handbook.  </w:t>
      </w:r>
      <w:r w:rsidRPr="00164C1B">
        <w:rPr>
          <w:rFonts w:ascii="Times New Roman" w:eastAsiaTheme="majorEastAsia" w:hAnsi="Times New Roman" w:cs="Times New Roman"/>
          <w:sz w:val="24"/>
          <w:szCs w:val="24"/>
        </w:rPr>
        <w:t xml:space="preserve">To understand the data, first look at the “raw input data” tab.  You will see six hypothetical distributions of lifetime HALY outcomes for three individuals, under six different policy options A to F.  </w:t>
      </w:r>
    </w:p>
    <w:p w14:paraId="0C6D0D5E" w14:textId="77777777" w:rsidR="00164C1B" w:rsidRDefault="00164C1B" w:rsidP="00164C1B">
      <w:pPr>
        <w:spacing w:line="360" w:lineRule="auto"/>
        <w:rPr>
          <w:rFonts w:ascii="Times New Roman" w:eastAsiaTheme="majorEastAsia" w:hAnsi="Times New Roman" w:cs="Times New Roman"/>
          <w:sz w:val="24"/>
          <w:szCs w:val="24"/>
        </w:rPr>
      </w:pPr>
      <w:r>
        <w:rPr>
          <w:rFonts w:ascii="Times New Roman" w:eastAsiaTheme="majorEastAsia" w:hAnsi="Times New Roman" w:cs="Times New Roman"/>
          <w:sz w:val="24"/>
          <w:szCs w:val="24"/>
        </w:rPr>
        <w:t>Which option do you judge to be best?</w:t>
      </w:r>
    </w:p>
    <w:p w14:paraId="48C42488" w14:textId="00616148" w:rsidR="00164C1B" w:rsidRPr="00164C1B" w:rsidRDefault="00164C1B" w:rsidP="00164C1B">
      <w:pPr>
        <w:spacing w:line="360" w:lineRule="auto"/>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To help you decide, you can </w:t>
      </w:r>
      <w:r w:rsidRPr="00164C1B">
        <w:rPr>
          <w:rFonts w:ascii="Times New Roman" w:eastAsiaTheme="majorEastAsia" w:hAnsi="Times New Roman" w:cs="Times New Roman"/>
          <w:sz w:val="24"/>
          <w:szCs w:val="24"/>
        </w:rPr>
        <w:t xml:space="preserve">repeat the </w:t>
      </w:r>
      <w:r>
        <w:rPr>
          <w:rFonts w:ascii="Times New Roman" w:eastAsiaTheme="majorEastAsia" w:hAnsi="Times New Roman" w:cs="Times New Roman"/>
          <w:sz w:val="24"/>
          <w:szCs w:val="24"/>
        </w:rPr>
        <w:t xml:space="preserve">equity impact plane </w:t>
      </w:r>
      <w:r w:rsidRPr="00164C1B">
        <w:rPr>
          <w:rFonts w:ascii="Times New Roman" w:eastAsiaTheme="majorEastAsia" w:hAnsi="Times New Roman" w:cs="Times New Roman"/>
          <w:sz w:val="24"/>
          <w:szCs w:val="24"/>
        </w:rPr>
        <w:t>analysis above for th</w:t>
      </w:r>
      <w:r>
        <w:rPr>
          <w:rFonts w:ascii="Times New Roman" w:eastAsiaTheme="majorEastAsia" w:hAnsi="Times New Roman" w:cs="Times New Roman"/>
          <w:sz w:val="24"/>
          <w:szCs w:val="24"/>
        </w:rPr>
        <w:t>ese</w:t>
      </w:r>
      <w:r w:rsidRPr="00164C1B">
        <w:rPr>
          <w:rFonts w:ascii="Times New Roman" w:eastAsiaTheme="majorEastAsia" w:hAnsi="Times New Roman" w:cs="Times New Roman"/>
          <w:sz w:val="24"/>
          <w:szCs w:val="24"/>
        </w:rPr>
        <w:t xml:space="preserve"> fictional example</w:t>
      </w:r>
      <w:r>
        <w:rPr>
          <w:rFonts w:ascii="Times New Roman" w:eastAsiaTheme="majorEastAsia" w:hAnsi="Times New Roman" w:cs="Times New Roman"/>
          <w:sz w:val="24"/>
          <w:szCs w:val="24"/>
        </w:rPr>
        <w:t>s</w:t>
      </w:r>
      <w:r w:rsidRPr="00164C1B">
        <w:rPr>
          <w:rFonts w:ascii="Times New Roman" w:eastAsiaTheme="majorEastAsia" w:hAnsi="Times New Roman" w:cs="Times New Roman"/>
          <w:sz w:val="24"/>
          <w:szCs w:val="24"/>
        </w:rPr>
        <w:t>.  Notice, for example, that option C Pareto dominates option A, even though it is more unequal and lies in the North-West “win-lose” quadrant of the equity impact plane.</w:t>
      </w:r>
    </w:p>
    <w:p w14:paraId="174044E1" w14:textId="77777777" w:rsidR="00164C1B" w:rsidRPr="00164C1B" w:rsidRDefault="00164C1B" w:rsidP="00164C1B">
      <w:pPr>
        <w:spacing w:line="360" w:lineRule="auto"/>
        <w:rPr>
          <w:rFonts w:ascii="Times New Roman" w:eastAsiaTheme="majorEastAsia" w:hAnsi="Times New Roman" w:cs="Times New Roman"/>
          <w:sz w:val="24"/>
          <w:szCs w:val="24"/>
        </w:rPr>
      </w:pPr>
    </w:p>
    <w:sectPr w:rsidR="00164C1B" w:rsidRPr="00164C1B">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04146" w14:textId="77777777" w:rsidR="00B734BB" w:rsidRDefault="00B734BB" w:rsidP="00341CFE">
      <w:pPr>
        <w:spacing w:after="0" w:line="240" w:lineRule="auto"/>
      </w:pPr>
      <w:r>
        <w:separator/>
      </w:r>
    </w:p>
  </w:endnote>
  <w:endnote w:type="continuationSeparator" w:id="0">
    <w:p w14:paraId="7BD94E49" w14:textId="77777777" w:rsidR="00B734BB" w:rsidRDefault="00B734BB" w:rsidP="00341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2850664"/>
      <w:docPartObj>
        <w:docPartGallery w:val="Page Numbers (Bottom of Page)"/>
        <w:docPartUnique/>
      </w:docPartObj>
    </w:sdtPr>
    <w:sdtEndPr>
      <w:rPr>
        <w:noProof/>
      </w:rPr>
    </w:sdtEndPr>
    <w:sdtContent>
      <w:p w14:paraId="38485006" w14:textId="77777777" w:rsidR="00B92B7C" w:rsidRDefault="00B92B7C">
        <w:pPr>
          <w:pStyle w:val="Footer"/>
          <w:jc w:val="right"/>
        </w:pPr>
        <w:r>
          <w:fldChar w:fldCharType="begin"/>
        </w:r>
        <w:r>
          <w:instrText xml:space="preserve"> PAGE   \* MERGEFORMAT </w:instrText>
        </w:r>
        <w:r>
          <w:fldChar w:fldCharType="separate"/>
        </w:r>
        <w:r w:rsidR="00746929">
          <w:rPr>
            <w:noProof/>
          </w:rPr>
          <w:t>8</w:t>
        </w:r>
        <w:r>
          <w:rPr>
            <w:noProof/>
          </w:rPr>
          <w:fldChar w:fldCharType="end"/>
        </w:r>
      </w:p>
    </w:sdtContent>
  </w:sdt>
  <w:p w14:paraId="4932D484" w14:textId="77777777" w:rsidR="00B92B7C" w:rsidRDefault="00B92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A9012" w14:textId="77777777" w:rsidR="00B734BB" w:rsidRDefault="00B734BB" w:rsidP="00341CFE">
      <w:pPr>
        <w:spacing w:after="0" w:line="240" w:lineRule="auto"/>
      </w:pPr>
      <w:r>
        <w:separator/>
      </w:r>
    </w:p>
  </w:footnote>
  <w:footnote w:type="continuationSeparator" w:id="0">
    <w:p w14:paraId="473E5142" w14:textId="77777777" w:rsidR="00B734BB" w:rsidRDefault="00B734BB" w:rsidP="00341C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41D19"/>
    <w:multiLevelType w:val="hybridMultilevel"/>
    <w:tmpl w:val="05B072B0"/>
    <w:lvl w:ilvl="0" w:tplc="1188051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9260DCF"/>
    <w:multiLevelType w:val="hybridMultilevel"/>
    <w:tmpl w:val="DE841EAC"/>
    <w:lvl w:ilvl="0" w:tplc="64C42D5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F70C12"/>
    <w:multiLevelType w:val="hybridMultilevel"/>
    <w:tmpl w:val="64129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4A69CF"/>
    <w:multiLevelType w:val="hybridMultilevel"/>
    <w:tmpl w:val="9BC09258"/>
    <w:lvl w:ilvl="0" w:tplc="24BCB5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C41C25"/>
    <w:multiLevelType w:val="hybridMultilevel"/>
    <w:tmpl w:val="7C8A4E34"/>
    <w:lvl w:ilvl="0" w:tplc="919A47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D62DAD"/>
    <w:multiLevelType w:val="hybridMultilevel"/>
    <w:tmpl w:val="CC86DD76"/>
    <w:lvl w:ilvl="0" w:tplc="83665E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550391"/>
    <w:multiLevelType w:val="hybridMultilevel"/>
    <w:tmpl w:val="2AAEAA58"/>
    <w:lvl w:ilvl="0" w:tplc="6CF0CBE0">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941614"/>
    <w:multiLevelType w:val="hybridMultilevel"/>
    <w:tmpl w:val="43743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2872D2"/>
    <w:multiLevelType w:val="hybridMultilevel"/>
    <w:tmpl w:val="48A67C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9F4C7D"/>
    <w:multiLevelType w:val="hybridMultilevel"/>
    <w:tmpl w:val="C2D8511E"/>
    <w:lvl w:ilvl="0" w:tplc="83665E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AC18EA"/>
    <w:multiLevelType w:val="hybridMultilevel"/>
    <w:tmpl w:val="7C8A4E34"/>
    <w:lvl w:ilvl="0" w:tplc="919A47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B11A74"/>
    <w:multiLevelType w:val="hybridMultilevel"/>
    <w:tmpl w:val="CC86DD76"/>
    <w:lvl w:ilvl="0" w:tplc="83665E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A1347D"/>
    <w:multiLevelType w:val="hybridMultilevel"/>
    <w:tmpl w:val="33883336"/>
    <w:lvl w:ilvl="0" w:tplc="E2F0C2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7D582E"/>
    <w:multiLevelType w:val="hybridMultilevel"/>
    <w:tmpl w:val="E0A24D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6"/>
  </w:num>
  <w:num w:numId="3">
    <w:abstractNumId w:val="9"/>
  </w:num>
  <w:num w:numId="4">
    <w:abstractNumId w:val="3"/>
  </w:num>
  <w:num w:numId="5">
    <w:abstractNumId w:val="1"/>
  </w:num>
  <w:num w:numId="6">
    <w:abstractNumId w:val="13"/>
  </w:num>
  <w:num w:numId="7">
    <w:abstractNumId w:val="8"/>
  </w:num>
  <w:num w:numId="8">
    <w:abstractNumId w:val="2"/>
  </w:num>
  <w:num w:numId="9">
    <w:abstractNumId w:val="4"/>
  </w:num>
  <w:num w:numId="10">
    <w:abstractNumId w:val="12"/>
  </w:num>
  <w:num w:numId="11">
    <w:abstractNumId w:val="10"/>
  </w:num>
  <w:num w:numId="12">
    <w:abstractNumId w:val="5"/>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B50"/>
    <w:rsid w:val="0000730D"/>
    <w:rsid w:val="00015CD4"/>
    <w:rsid w:val="00020CB1"/>
    <w:rsid w:val="00031A37"/>
    <w:rsid w:val="00031EAF"/>
    <w:rsid w:val="0009466A"/>
    <w:rsid w:val="00112207"/>
    <w:rsid w:val="00112922"/>
    <w:rsid w:val="001200E8"/>
    <w:rsid w:val="001364AC"/>
    <w:rsid w:val="00142757"/>
    <w:rsid w:val="00153AD5"/>
    <w:rsid w:val="00164C1B"/>
    <w:rsid w:val="00165D91"/>
    <w:rsid w:val="0017001E"/>
    <w:rsid w:val="00182CFB"/>
    <w:rsid w:val="00186882"/>
    <w:rsid w:val="0019556D"/>
    <w:rsid w:val="001C011D"/>
    <w:rsid w:val="001C0200"/>
    <w:rsid w:val="001D1B59"/>
    <w:rsid w:val="00210B00"/>
    <w:rsid w:val="002139A5"/>
    <w:rsid w:val="00221229"/>
    <w:rsid w:val="00221D35"/>
    <w:rsid w:val="00230F57"/>
    <w:rsid w:val="002466F4"/>
    <w:rsid w:val="00270936"/>
    <w:rsid w:val="00276EAA"/>
    <w:rsid w:val="00276F67"/>
    <w:rsid w:val="002914D2"/>
    <w:rsid w:val="002935F3"/>
    <w:rsid w:val="00297D0A"/>
    <w:rsid w:val="002A35B1"/>
    <w:rsid w:val="002C3E95"/>
    <w:rsid w:val="002D47AC"/>
    <w:rsid w:val="002E15EF"/>
    <w:rsid w:val="002F7CE6"/>
    <w:rsid w:val="00310645"/>
    <w:rsid w:val="00314982"/>
    <w:rsid w:val="003241F8"/>
    <w:rsid w:val="00330595"/>
    <w:rsid w:val="0033334F"/>
    <w:rsid w:val="00341CFE"/>
    <w:rsid w:val="00366A0D"/>
    <w:rsid w:val="0037275B"/>
    <w:rsid w:val="00396E1C"/>
    <w:rsid w:val="003B2ABB"/>
    <w:rsid w:val="003B7D45"/>
    <w:rsid w:val="003D0CE5"/>
    <w:rsid w:val="003E17D7"/>
    <w:rsid w:val="004007D2"/>
    <w:rsid w:val="004013E3"/>
    <w:rsid w:val="00403265"/>
    <w:rsid w:val="00406343"/>
    <w:rsid w:val="00407F32"/>
    <w:rsid w:val="00423113"/>
    <w:rsid w:val="004231DC"/>
    <w:rsid w:val="00423B10"/>
    <w:rsid w:val="0042451D"/>
    <w:rsid w:val="00424C9E"/>
    <w:rsid w:val="00425E03"/>
    <w:rsid w:val="0042644D"/>
    <w:rsid w:val="004363D2"/>
    <w:rsid w:val="0044385C"/>
    <w:rsid w:val="004459B2"/>
    <w:rsid w:val="00454B8A"/>
    <w:rsid w:val="004604CF"/>
    <w:rsid w:val="00461BEF"/>
    <w:rsid w:val="00465F6C"/>
    <w:rsid w:val="004927D4"/>
    <w:rsid w:val="004974F7"/>
    <w:rsid w:val="0049764A"/>
    <w:rsid w:val="004A24FE"/>
    <w:rsid w:val="004B08D0"/>
    <w:rsid w:val="004E57C4"/>
    <w:rsid w:val="0050105C"/>
    <w:rsid w:val="00503F4B"/>
    <w:rsid w:val="00506CEE"/>
    <w:rsid w:val="00516F54"/>
    <w:rsid w:val="0052755B"/>
    <w:rsid w:val="00546C1B"/>
    <w:rsid w:val="005534C6"/>
    <w:rsid w:val="005537A5"/>
    <w:rsid w:val="00582EB7"/>
    <w:rsid w:val="0058573B"/>
    <w:rsid w:val="00591A86"/>
    <w:rsid w:val="0059313B"/>
    <w:rsid w:val="005A68F3"/>
    <w:rsid w:val="005B4869"/>
    <w:rsid w:val="005B72EC"/>
    <w:rsid w:val="005D64F9"/>
    <w:rsid w:val="005E2303"/>
    <w:rsid w:val="00604C49"/>
    <w:rsid w:val="00613428"/>
    <w:rsid w:val="00623CBC"/>
    <w:rsid w:val="00625367"/>
    <w:rsid w:val="006308FF"/>
    <w:rsid w:val="00681461"/>
    <w:rsid w:val="00697B37"/>
    <w:rsid w:val="006A7269"/>
    <w:rsid w:val="006A7DC8"/>
    <w:rsid w:val="006B3BDF"/>
    <w:rsid w:val="006D012E"/>
    <w:rsid w:val="006D4A99"/>
    <w:rsid w:val="006F076B"/>
    <w:rsid w:val="006F578C"/>
    <w:rsid w:val="0073294F"/>
    <w:rsid w:val="00741FA4"/>
    <w:rsid w:val="00746929"/>
    <w:rsid w:val="007634D7"/>
    <w:rsid w:val="00767D99"/>
    <w:rsid w:val="007754F2"/>
    <w:rsid w:val="00777663"/>
    <w:rsid w:val="00781B89"/>
    <w:rsid w:val="00790455"/>
    <w:rsid w:val="007A24FA"/>
    <w:rsid w:val="007D3930"/>
    <w:rsid w:val="007F6B75"/>
    <w:rsid w:val="008143E6"/>
    <w:rsid w:val="008214C2"/>
    <w:rsid w:val="008475A4"/>
    <w:rsid w:val="00850F11"/>
    <w:rsid w:val="008575B9"/>
    <w:rsid w:val="008646A9"/>
    <w:rsid w:val="008663A0"/>
    <w:rsid w:val="00896B52"/>
    <w:rsid w:val="008B3A1C"/>
    <w:rsid w:val="008C44A1"/>
    <w:rsid w:val="008D13A2"/>
    <w:rsid w:val="008E2FC5"/>
    <w:rsid w:val="00926946"/>
    <w:rsid w:val="00955A15"/>
    <w:rsid w:val="009565B1"/>
    <w:rsid w:val="00980568"/>
    <w:rsid w:val="009818E4"/>
    <w:rsid w:val="00982FF5"/>
    <w:rsid w:val="00997F1B"/>
    <w:rsid w:val="009A2120"/>
    <w:rsid w:val="009B435F"/>
    <w:rsid w:val="009B6281"/>
    <w:rsid w:val="009B687C"/>
    <w:rsid w:val="009E39AD"/>
    <w:rsid w:val="009E798C"/>
    <w:rsid w:val="00A03A02"/>
    <w:rsid w:val="00A05D1E"/>
    <w:rsid w:val="00A17C27"/>
    <w:rsid w:val="00A21E22"/>
    <w:rsid w:val="00A36BE1"/>
    <w:rsid w:val="00A44C1C"/>
    <w:rsid w:val="00A50A84"/>
    <w:rsid w:val="00A63744"/>
    <w:rsid w:val="00A75B88"/>
    <w:rsid w:val="00A81FF3"/>
    <w:rsid w:val="00AA2408"/>
    <w:rsid w:val="00AB3134"/>
    <w:rsid w:val="00AB6883"/>
    <w:rsid w:val="00AD1910"/>
    <w:rsid w:val="00AE6C85"/>
    <w:rsid w:val="00AF56C6"/>
    <w:rsid w:val="00AF6355"/>
    <w:rsid w:val="00B06898"/>
    <w:rsid w:val="00B12DE2"/>
    <w:rsid w:val="00B210EB"/>
    <w:rsid w:val="00B22734"/>
    <w:rsid w:val="00B24662"/>
    <w:rsid w:val="00B300B7"/>
    <w:rsid w:val="00B3525B"/>
    <w:rsid w:val="00B36424"/>
    <w:rsid w:val="00B57667"/>
    <w:rsid w:val="00B63815"/>
    <w:rsid w:val="00B734BB"/>
    <w:rsid w:val="00B862F1"/>
    <w:rsid w:val="00B873B6"/>
    <w:rsid w:val="00B875E1"/>
    <w:rsid w:val="00B92B7C"/>
    <w:rsid w:val="00BB068F"/>
    <w:rsid w:val="00BD3B50"/>
    <w:rsid w:val="00BE30DE"/>
    <w:rsid w:val="00BF72EF"/>
    <w:rsid w:val="00C10038"/>
    <w:rsid w:val="00C115F2"/>
    <w:rsid w:val="00C122BC"/>
    <w:rsid w:val="00C17061"/>
    <w:rsid w:val="00C23B54"/>
    <w:rsid w:val="00C2436D"/>
    <w:rsid w:val="00C30B02"/>
    <w:rsid w:val="00C40BB5"/>
    <w:rsid w:val="00C7250F"/>
    <w:rsid w:val="00C86D6F"/>
    <w:rsid w:val="00CB4B50"/>
    <w:rsid w:val="00CB767F"/>
    <w:rsid w:val="00CC2535"/>
    <w:rsid w:val="00D31646"/>
    <w:rsid w:val="00D47F2E"/>
    <w:rsid w:val="00D519B2"/>
    <w:rsid w:val="00D562F9"/>
    <w:rsid w:val="00D70148"/>
    <w:rsid w:val="00D75D29"/>
    <w:rsid w:val="00D94FBF"/>
    <w:rsid w:val="00DC1F05"/>
    <w:rsid w:val="00DC72EB"/>
    <w:rsid w:val="00DD0C8F"/>
    <w:rsid w:val="00DD2DC0"/>
    <w:rsid w:val="00DD399C"/>
    <w:rsid w:val="00DE3805"/>
    <w:rsid w:val="00E2378F"/>
    <w:rsid w:val="00E300E1"/>
    <w:rsid w:val="00E437B4"/>
    <w:rsid w:val="00E61E62"/>
    <w:rsid w:val="00E63D53"/>
    <w:rsid w:val="00E64EB2"/>
    <w:rsid w:val="00E71702"/>
    <w:rsid w:val="00E734E2"/>
    <w:rsid w:val="00E82955"/>
    <w:rsid w:val="00E874F7"/>
    <w:rsid w:val="00EA705E"/>
    <w:rsid w:val="00EB1B7A"/>
    <w:rsid w:val="00EB2F63"/>
    <w:rsid w:val="00EB54F0"/>
    <w:rsid w:val="00EB6DB6"/>
    <w:rsid w:val="00EC15B0"/>
    <w:rsid w:val="00ED5F22"/>
    <w:rsid w:val="00EE2E65"/>
    <w:rsid w:val="00EE5216"/>
    <w:rsid w:val="00EE6067"/>
    <w:rsid w:val="00EF0199"/>
    <w:rsid w:val="00EF02D1"/>
    <w:rsid w:val="00F20381"/>
    <w:rsid w:val="00F20AA6"/>
    <w:rsid w:val="00F233C7"/>
    <w:rsid w:val="00F42EB1"/>
    <w:rsid w:val="00F54816"/>
    <w:rsid w:val="00F63CFA"/>
    <w:rsid w:val="00F82CF9"/>
    <w:rsid w:val="00F86B2A"/>
    <w:rsid w:val="00F97549"/>
    <w:rsid w:val="00FB6485"/>
    <w:rsid w:val="00FD181E"/>
    <w:rsid w:val="00FD75A0"/>
    <w:rsid w:val="00FF0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49FEB"/>
  <w15:chartTrackingRefBased/>
  <w15:docId w15:val="{B07DAE6A-67AB-4B2D-923E-4A15D6DD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B50"/>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B50"/>
    <w:pPr>
      <w:spacing w:after="200" w:line="276" w:lineRule="auto"/>
      <w:ind w:left="720"/>
      <w:contextualSpacing/>
    </w:pPr>
    <w:rPr>
      <w:lang w:val="en-GB"/>
    </w:rPr>
  </w:style>
  <w:style w:type="character" w:styleId="Hyperlink">
    <w:name w:val="Hyperlink"/>
    <w:basedOn w:val="DefaultParagraphFont"/>
    <w:uiPriority w:val="99"/>
    <w:unhideWhenUsed/>
    <w:rsid w:val="00BD3B50"/>
    <w:rPr>
      <w:color w:val="0563C1" w:themeColor="hyperlink"/>
      <w:u w:val="single"/>
    </w:rPr>
  </w:style>
  <w:style w:type="character" w:customStyle="1" w:styleId="UnresolvedMention1">
    <w:name w:val="Unresolved Mention1"/>
    <w:basedOn w:val="DefaultParagraphFont"/>
    <w:uiPriority w:val="99"/>
    <w:semiHidden/>
    <w:unhideWhenUsed/>
    <w:rsid w:val="00BD3B50"/>
    <w:rPr>
      <w:color w:val="605E5C"/>
      <w:shd w:val="clear" w:color="auto" w:fill="E1DFDD"/>
    </w:rPr>
  </w:style>
  <w:style w:type="paragraph" w:styleId="Header">
    <w:name w:val="header"/>
    <w:basedOn w:val="Normal"/>
    <w:link w:val="HeaderChar"/>
    <w:uiPriority w:val="99"/>
    <w:unhideWhenUsed/>
    <w:rsid w:val="00341C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1CFE"/>
    <w:rPr>
      <w:rFonts w:asciiTheme="minorHAnsi" w:hAnsiTheme="minorHAnsi" w:cstheme="minorBidi"/>
      <w:sz w:val="22"/>
      <w:szCs w:val="22"/>
      <w:lang w:val="en-US"/>
    </w:rPr>
  </w:style>
  <w:style w:type="paragraph" w:styleId="Footer">
    <w:name w:val="footer"/>
    <w:basedOn w:val="Normal"/>
    <w:link w:val="FooterChar"/>
    <w:uiPriority w:val="99"/>
    <w:unhideWhenUsed/>
    <w:rsid w:val="00341C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CFE"/>
    <w:rPr>
      <w:rFonts w:asciiTheme="minorHAnsi" w:hAnsiTheme="minorHAnsi" w:cstheme="minorBidi"/>
      <w:sz w:val="22"/>
      <w:szCs w:val="22"/>
      <w:lang w:val="en-US"/>
    </w:rPr>
  </w:style>
  <w:style w:type="character" w:styleId="CommentReference">
    <w:name w:val="annotation reference"/>
    <w:basedOn w:val="DefaultParagraphFont"/>
    <w:uiPriority w:val="99"/>
    <w:semiHidden/>
    <w:unhideWhenUsed/>
    <w:rsid w:val="008575B9"/>
    <w:rPr>
      <w:sz w:val="16"/>
      <w:szCs w:val="16"/>
    </w:rPr>
  </w:style>
  <w:style w:type="paragraph" w:styleId="CommentText">
    <w:name w:val="annotation text"/>
    <w:basedOn w:val="Normal"/>
    <w:link w:val="CommentTextChar"/>
    <w:uiPriority w:val="99"/>
    <w:semiHidden/>
    <w:unhideWhenUsed/>
    <w:rsid w:val="008575B9"/>
    <w:pPr>
      <w:spacing w:line="240" w:lineRule="auto"/>
    </w:pPr>
    <w:rPr>
      <w:sz w:val="20"/>
      <w:szCs w:val="20"/>
    </w:rPr>
  </w:style>
  <w:style w:type="character" w:customStyle="1" w:styleId="CommentTextChar">
    <w:name w:val="Comment Text Char"/>
    <w:basedOn w:val="DefaultParagraphFont"/>
    <w:link w:val="CommentText"/>
    <w:uiPriority w:val="99"/>
    <w:semiHidden/>
    <w:rsid w:val="008575B9"/>
    <w:rPr>
      <w:rFonts w:asciiTheme="minorHAnsi" w:hAnsiTheme="minorHAnsi" w:cstheme="minorBidi"/>
      <w:sz w:val="20"/>
      <w:szCs w:val="20"/>
      <w:lang w:val="en-US"/>
    </w:rPr>
  </w:style>
  <w:style w:type="paragraph" w:styleId="CommentSubject">
    <w:name w:val="annotation subject"/>
    <w:basedOn w:val="CommentText"/>
    <w:next w:val="CommentText"/>
    <w:link w:val="CommentSubjectChar"/>
    <w:uiPriority w:val="99"/>
    <w:semiHidden/>
    <w:unhideWhenUsed/>
    <w:rsid w:val="008575B9"/>
    <w:rPr>
      <w:b/>
      <w:bCs/>
    </w:rPr>
  </w:style>
  <w:style w:type="character" w:customStyle="1" w:styleId="CommentSubjectChar">
    <w:name w:val="Comment Subject Char"/>
    <w:basedOn w:val="CommentTextChar"/>
    <w:link w:val="CommentSubject"/>
    <w:uiPriority w:val="99"/>
    <w:semiHidden/>
    <w:rsid w:val="008575B9"/>
    <w:rPr>
      <w:rFonts w:asciiTheme="minorHAnsi" w:hAnsiTheme="minorHAnsi" w:cstheme="minorBidi"/>
      <w:b/>
      <w:bCs/>
      <w:sz w:val="20"/>
      <w:szCs w:val="20"/>
      <w:lang w:val="en-US"/>
    </w:rPr>
  </w:style>
  <w:style w:type="paragraph" w:styleId="BalloonText">
    <w:name w:val="Balloon Text"/>
    <w:basedOn w:val="Normal"/>
    <w:link w:val="BalloonTextChar"/>
    <w:uiPriority w:val="99"/>
    <w:semiHidden/>
    <w:unhideWhenUsed/>
    <w:rsid w:val="0085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5B9"/>
    <w:rPr>
      <w:rFonts w:ascii="Segoe UI" w:hAnsi="Segoe UI" w:cs="Segoe UI"/>
      <w:sz w:val="18"/>
      <w:szCs w:val="18"/>
      <w:lang w:val="en-US"/>
    </w:rPr>
  </w:style>
  <w:style w:type="character" w:styleId="FollowedHyperlink">
    <w:name w:val="FollowedHyperlink"/>
    <w:basedOn w:val="DefaultParagraphFont"/>
    <w:uiPriority w:val="99"/>
    <w:semiHidden/>
    <w:unhideWhenUsed/>
    <w:rsid w:val="00D519B2"/>
    <w:rPr>
      <w:color w:val="954F72" w:themeColor="followedHyperlink"/>
      <w:u w:val="single"/>
    </w:rPr>
  </w:style>
  <w:style w:type="character" w:customStyle="1" w:styleId="UnresolvedMention2">
    <w:name w:val="Unresolved Mention2"/>
    <w:basedOn w:val="DefaultParagraphFont"/>
    <w:uiPriority w:val="99"/>
    <w:semiHidden/>
    <w:unhideWhenUsed/>
    <w:rsid w:val="00164C1B"/>
    <w:rPr>
      <w:color w:val="605E5C"/>
      <w:shd w:val="clear" w:color="auto" w:fill="E1DFDD"/>
    </w:rPr>
  </w:style>
  <w:style w:type="paragraph" w:styleId="Revision">
    <w:name w:val="Revision"/>
    <w:hidden/>
    <w:uiPriority w:val="99"/>
    <w:semiHidden/>
    <w:rsid w:val="003241F8"/>
    <w:pPr>
      <w:spacing w:after="0" w:line="240" w:lineRule="auto"/>
    </w:pPr>
    <w:rPr>
      <w:rFonts w:asciiTheme="minorHAnsi" w:hAnsiTheme="minorHAnsi" w:cstheme="minorBidi"/>
      <w:sz w:val="22"/>
      <w:szCs w:val="22"/>
      <w:lang w:val="en-US"/>
    </w:rPr>
  </w:style>
  <w:style w:type="character" w:styleId="PlaceholderText">
    <w:name w:val="Placeholder Text"/>
    <w:basedOn w:val="DefaultParagraphFont"/>
    <w:uiPriority w:val="99"/>
    <w:semiHidden/>
    <w:rsid w:val="00F63CFA"/>
    <w:rPr>
      <w:color w:val="808080"/>
    </w:rPr>
  </w:style>
  <w:style w:type="character" w:styleId="UnresolvedMention">
    <w:name w:val="Unresolved Mention"/>
    <w:basedOn w:val="DefaultParagraphFont"/>
    <w:uiPriority w:val="99"/>
    <w:semiHidden/>
    <w:unhideWhenUsed/>
    <w:rsid w:val="004A2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rk.ac.uk/che/research/equity/handbook/" TargetMode="External"/><Relationship Id="rId12" Type="http://schemas.openxmlformats.org/officeDocument/2006/relationships/hyperlink" Target="https://www.york.ac.uk/che/research/equity/handboo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hiny.york.ac.uk/dce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7</Pages>
  <Words>1990</Words>
  <Characters>11344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Cookson</dc:creator>
  <cp:keywords/>
  <dc:description/>
  <cp:lastModifiedBy>Richard Cookson</cp:lastModifiedBy>
  <cp:revision>61</cp:revision>
  <dcterms:created xsi:type="dcterms:W3CDTF">2019-07-28T16:47:00Z</dcterms:created>
  <dcterms:modified xsi:type="dcterms:W3CDTF">2020-09-19T10:21:00Z</dcterms:modified>
</cp:coreProperties>
</file>